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3AA" w:rsidRDefault="009743AA" w:rsidP="009743AA">
      <w:pPr>
        <w:rPr>
          <w:b/>
          <w:sz w:val="28"/>
          <w:szCs w:val="28"/>
        </w:rPr>
      </w:pPr>
      <w:r>
        <w:rPr>
          <w:b/>
          <w:sz w:val="28"/>
          <w:szCs w:val="28"/>
        </w:rPr>
        <w:t>Лекция 10  Обжиг  цинковых  концентратов</w:t>
      </w:r>
    </w:p>
    <w:p w:rsidR="009743AA" w:rsidRDefault="009743AA" w:rsidP="009743AA">
      <w:pPr>
        <w:jc w:val="center"/>
        <w:rPr>
          <w:b/>
          <w:sz w:val="28"/>
          <w:szCs w:val="28"/>
        </w:rPr>
      </w:pP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Технологическая схема переработки цинковых концентратов гидрометаллургическим способом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Наиболее распространённым способом переработки цинковых концентратов является гидрометаллургический, который включает как пирометаллургические, так и гидрометаллургические технологические операции: окислительный обжиг, выщелачивание огарка, очистка раствора от примесей и электролитическое получение цинка. Принципиальная технологическая схема переработки сульфидных цинковых концентратов  гидрометаллургическим способом приведена на рисунке 2.6. Она включает следующие основные технологические операции: окислительный обжиг, выщелачивание, очистка раствора от примесей, электролитическое получение цинка, переплавка и разлив катодного цинка.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Гидрометаллургический способ переработки сульфидных цинковых концентратов в настоящее время является основным. Этот обусловлено рядом преимуществ, которыми он отличается от пирометаллургического способа. К ним относятся: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более высокое извлечение цинка и  сопутствующих элементов;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более высокая комплексность использования сырья;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высокое извлечение цинка;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высокая механизация и автоматизация технологических процессов;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более высокая </w:t>
      </w:r>
      <w:proofErr w:type="spellStart"/>
      <w:r>
        <w:rPr>
          <w:sz w:val="28"/>
          <w:szCs w:val="28"/>
        </w:rPr>
        <w:t>экологичность</w:t>
      </w:r>
      <w:proofErr w:type="spellEnd"/>
      <w:r>
        <w:rPr>
          <w:sz w:val="28"/>
          <w:szCs w:val="28"/>
        </w:rPr>
        <w:t>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Одной из основных технологических операций гидрометаллургической схемы переработки сульфидных цинковых концентратов является окислительный обжиг, который осуществляется в печах кипящего слоя при температуре 900-950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Целью окислительного обжига является: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максимальный перевод в растворимые в серной кислоте оксиды сульфидов металлов, с целью получения огарка с минимальным количеством сульфидов, содержание сульфидной серы в огарке  не должно превышать 0,5%;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429250" cy="5467350"/>
            <wp:effectExtent l="19050" t="0" r="0" b="0"/>
            <wp:docPr id="1" name="Рисунок 1" descr="Свинец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винец00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546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3AA" w:rsidRDefault="009743AA" w:rsidP="009743AA">
      <w:pPr>
        <w:jc w:val="center"/>
        <w:rPr>
          <w:sz w:val="28"/>
          <w:szCs w:val="28"/>
        </w:rPr>
      </w:pPr>
    </w:p>
    <w:p w:rsidR="009743AA" w:rsidRDefault="009743AA" w:rsidP="009743AA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2.6 - Принципиальная гидрометаллургическая технологическая схема переработки сульфидных цинковых концентратов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оставить в огарке 2-4 % сульфатной серы для компенсации потерь серной кислоты в процессе выщелачивания огарка;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получить в огарке как можно меньше нерастворимых в серной кислоте ферритов цинка;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получить в огарке минимальное количество силикатов цинка и свинца, так как они сильно затрудняют процесс фильтрации растворов;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получить огарок с размерами частиц не более 0,5-</w:t>
      </w:r>
      <w:smartTag w:uri="urn:schemas-microsoft-com:office:smarttags" w:element="metricconverter">
        <w:smartTagPr>
          <w:attr w:name="ProductID" w:val="0,2 мм"/>
        </w:smartTagPr>
        <w:r>
          <w:rPr>
            <w:sz w:val="28"/>
            <w:szCs w:val="28"/>
          </w:rPr>
          <w:t>0,2 мм</w:t>
        </w:r>
      </w:smartTag>
      <w:r>
        <w:rPr>
          <w:sz w:val="28"/>
          <w:szCs w:val="28"/>
        </w:rPr>
        <w:t>;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обеспечить получение газов с концентрацией сернистого ангидрида, позволяющей получение из них серной кислоты.      </w:t>
      </w:r>
    </w:p>
    <w:p w:rsidR="009743AA" w:rsidRDefault="009743AA" w:rsidP="009743AA">
      <w:pPr>
        <w:ind w:firstLine="720"/>
        <w:rPr>
          <w:sz w:val="28"/>
          <w:szCs w:val="28"/>
        </w:rPr>
      </w:pPr>
      <w:r>
        <w:t xml:space="preserve">.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2.5.2 Теоретические основы процесса обжига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 современным представлениям окисление сульфидов металлов осуществляется по следующим конечным химическим реакциям: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ind w:left="1416"/>
        <w:jc w:val="center"/>
        <w:rPr>
          <w:sz w:val="28"/>
          <w:szCs w:val="28"/>
          <w:lang w:val="es-ES"/>
        </w:rPr>
      </w:pPr>
      <w:r w:rsidRPr="00BE1CD9">
        <w:rPr>
          <w:sz w:val="28"/>
          <w:szCs w:val="28"/>
        </w:rPr>
        <w:lastRenderedPageBreak/>
        <w:t xml:space="preserve">             </w:t>
      </w:r>
      <w:r>
        <w:rPr>
          <w:sz w:val="28"/>
          <w:szCs w:val="28"/>
          <w:lang w:val="es-ES"/>
        </w:rPr>
        <w:t>MeS + 1,5O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= MeO + SO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                  (2.</w:t>
      </w:r>
      <w:r>
        <w:rPr>
          <w:sz w:val="28"/>
          <w:szCs w:val="28"/>
          <w:lang w:val="en-US"/>
        </w:rPr>
        <w:t>35</w:t>
      </w:r>
      <w:r>
        <w:rPr>
          <w:sz w:val="28"/>
          <w:szCs w:val="28"/>
          <w:lang w:val="es-ES"/>
        </w:rPr>
        <w:t>)</w:t>
      </w:r>
    </w:p>
    <w:p w:rsidR="009743AA" w:rsidRDefault="009743AA" w:rsidP="009743AA">
      <w:pPr>
        <w:jc w:val="center"/>
        <w:rPr>
          <w:sz w:val="28"/>
          <w:szCs w:val="28"/>
          <w:lang w:val="es-ES"/>
        </w:rPr>
      </w:pPr>
    </w:p>
    <w:p w:rsidR="009743AA" w:rsidRDefault="009743AA" w:rsidP="009743AA">
      <w:pPr>
        <w:ind w:left="2124" w:firstLine="708"/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es-ES"/>
        </w:rPr>
        <w:t>SO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+ 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= 2SO</w:t>
      </w:r>
      <w:r>
        <w:rPr>
          <w:sz w:val="28"/>
          <w:szCs w:val="28"/>
          <w:vertAlign w:val="subscript"/>
          <w:lang w:val="es-ES"/>
        </w:rPr>
        <w:t>3</w:t>
      </w:r>
      <w:r>
        <w:rPr>
          <w:sz w:val="28"/>
          <w:szCs w:val="28"/>
          <w:lang w:val="es-ES"/>
        </w:rPr>
        <w:t xml:space="preserve">     </w:t>
      </w:r>
      <w:r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es-ES"/>
        </w:rPr>
        <w:t xml:space="preserve">                 (2.</w:t>
      </w:r>
      <w:r>
        <w:rPr>
          <w:sz w:val="28"/>
          <w:szCs w:val="28"/>
          <w:lang w:val="en-US"/>
        </w:rPr>
        <w:t>36</w:t>
      </w:r>
      <w:r>
        <w:rPr>
          <w:sz w:val="28"/>
          <w:szCs w:val="28"/>
          <w:lang w:val="es-ES"/>
        </w:rPr>
        <w:t>)</w:t>
      </w:r>
    </w:p>
    <w:p w:rsidR="009743AA" w:rsidRDefault="009743AA" w:rsidP="009743AA">
      <w:pPr>
        <w:jc w:val="center"/>
        <w:rPr>
          <w:sz w:val="28"/>
          <w:szCs w:val="28"/>
          <w:lang w:val="es-ES"/>
        </w:rPr>
      </w:pPr>
    </w:p>
    <w:p w:rsidR="009743AA" w:rsidRDefault="009743AA" w:rsidP="009743AA">
      <w:pPr>
        <w:ind w:left="2124"/>
        <w:jc w:val="center"/>
        <w:rPr>
          <w:sz w:val="28"/>
          <w:szCs w:val="28"/>
        </w:rPr>
      </w:pPr>
      <w:r w:rsidRPr="00BE1CD9">
        <w:rPr>
          <w:sz w:val="28"/>
          <w:szCs w:val="28"/>
          <w:lang w:val="en-US"/>
        </w:rPr>
        <w:t xml:space="preserve">         </w:t>
      </w:r>
      <w:proofErr w:type="spellStart"/>
      <w:r>
        <w:rPr>
          <w:sz w:val="28"/>
          <w:szCs w:val="28"/>
          <w:lang w:val="en-US"/>
        </w:rPr>
        <w:t>MeO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  <w:lang w:val="en-US"/>
        </w:rPr>
        <w:t>MeSO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                    (2.37)</w:t>
      </w:r>
    </w:p>
    <w:p w:rsidR="009743AA" w:rsidRPr="004014C7" w:rsidRDefault="009743AA" w:rsidP="009743AA">
      <w:pPr>
        <w:jc w:val="both"/>
      </w:pPr>
    </w:p>
    <w:p w:rsidR="009743AA" w:rsidRPr="004014C7" w:rsidRDefault="009743AA" w:rsidP="009743AA">
      <w:pPr>
        <w:jc w:val="both"/>
      </w:pPr>
      <w:r w:rsidRPr="004014C7">
        <w:t xml:space="preserve">     Реакция (2.36) является практически необратимой. Константа равновесия для  реакций (2.36)  определяются выражением:</w:t>
      </w:r>
    </w:p>
    <w:p w:rsidR="009743AA" w:rsidRPr="004014C7" w:rsidRDefault="009743AA" w:rsidP="009743AA">
      <w:pPr>
        <w:jc w:val="both"/>
      </w:pPr>
    </w:p>
    <w:p w:rsidR="009743AA" w:rsidRPr="004014C7" w:rsidRDefault="009743AA" w:rsidP="009743AA">
      <w:pPr>
        <w:ind w:left="2124" w:firstLine="708"/>
        <w:jc w:val="center"/>
      </w:pPr>
      <w:r w:rsidRPr="004014C7">
        <w:t xml:space="preserve">    К</w:t>
      </w:r>
      <w:proofErr w:type="gramStart"/>
      <w:r w:rsidRPr="004014C7">
        <w:rPr>
          <w:vertAlign w:val="subscript"/>
          <w:lang w:val="en-US"/>
        </w:rPr>
        <w:t>P</w:t>
      </w:r>
      <w:proofErr w:type="gramEnd"/>
      <w:r w:rsidRPr="004014C7">
        <w:rPr>
          <w:vertAlign w:val="subscript"/>
        </w:rPr>
        <w:t xml:space="preserve"> </w:t>
      </w:r>
      <w:r w:rsidRPr="004014C7">
        <w:t xml:space="preserve">= </w:t>
      </w:r>
      <w:r w:rsidRPr="004014C7">
        <w:rPr>
          <w:position w:val="-34"/>
          <w:lang w:val="en-US"/>
        </w:rPr>
        <w:object w:dxaOrig="9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39.75pt" o:ole="">
            <v:imagedata r:id="rId6" o:title=""/>
          </v:shape>
          <o:OLEObject Type="Embed" ProgID="Equation.3" ShapeID="_x0000_i1025" DrawAspect="Content" ObjectID="_1730124668" r:id="rId7"/>
        </w:object>
      </w:r>
      <w:r w:rsidRPr="004014C7">
        <w:t>,                             (2.38)</w:t>
      </w:r>
    </w:p>
    <w:p w:rsidR="009743AA" w:rsidRPr="004014C7" w:rsidRDefault="009743AA" w:rsidP="009743AA">
      <w:pPr>
        <w:jc w:val="both"/>
      </w:pPr>
      <w:r w:rsidRPr="004014C7">
        <w:t>откуда имеем</w:t>
      </w:r>
    </w:p>
    <w:p w:rsidR="009743AA" w:rsidRPr="004014C7" w:rsidRDefault="009743AA" w:rsidP="009743AA">
      <w:pPr>
        <w:jc w:val="both"/>
      </w:pPr>
    </w:p>
    <w:p w:rsidR="009743AA" w:rsidRPr="004014C7" w:rsidRDefault="009743AA" w:rsidP="009743AA">
      <w:pPr>
        <w:jc w:val="both"/>
      </w:pPr>
      <w:r w:rsidRPr="004014C7">
        <w:t xml:space="preserve">                                       </w:t>
      </w:r>
      <w:r w:rsidRPr="004014C7">
        <w:tab/>
      </w:r>
      <w:r w:rsidRPr="004014C7">
        <w:tab/>
        <w:t xml:space="preserve">     </w:t>
      </w:r>
      <w:r w:rsidRPr="004014C7">
        <w:rPr>
          <w:position w:val="-14"/>
        </w:rPr>
        <w:object w:dxaOrig="460" w:dyaOrig="380">
          <v:shape id="_x0000_i1026" type="#_x0000_t75" style="width:23.25pt;height:18.75pt" o:ole="">
            <v:imagedata r:id="rId8" o:title=""/>
          </v:shape>
          <o:OLEObject Type="Embed" ProgID="Equation.3" ShapeID="_x0000_i1026" DrawAspect="Content" ObjectID="_1730124669" r:id="rId9"/>
        </w:object>
      </w:r>
      <w:r w:rsidRPr="004014C7">
        <w:t xml:space="preserve">=   </w:t>
      </w:r>
      <w:r w:rsidRPr="004014C7">
        <w:rPr>
          <w:position w:val="-14"/>
        </w:rPr>
        <w:object w:dxaOrig="440" w:dyaOrig="380">
          <v:shape id="_x0000_i1027" type="#_x0000_t75" style="width:21.75pt;height:18.75pt" o:ole="">
            <v:imagedata r:id="rId10" o:title=""/>
          </v:shape>
          <o:OLEObject Type="Embed" ProgID="Equation.3" ShapeID="_x0000_i1027" DrawAspect="Content" ObjectID="_1730124670" r:id="rId11"/>
        </w:object>
      </w:r>
      <w:r w:rsidRPr="004014C7">
        <w:rPr>
          <w:position w:val="-16"/>
        </w:rPr>
        <w:object w:dxaOrig="1020" w:dyaOrig="440">
          <v:shape id="_x0000_i1028" type="#_x0000_t75" style="width:51pt;height:21.75pt" o:ole="">
            <v:imagedata r:id="rId12" o:title=""/>
          </v:shape>
          <o:OLEObject Type="Embed" ProgID="Equation.3" ShapeID="_x0000_i1028" DrawAspect="Content" ObjectID="_1730124671" r:id="rId13"/>
        </w:object>
      </w:r>
      <w:r w:rsidRPr="004014C7">
        <w:t xml:space="preserve">                       (2.39) </w:t>
      </w:r>
    </w:p>
    <w:p w:rsidR="009743AA" w:rsidRPr="004014C7" w:rsidRDefault="009743AA" w:rsidP="009743AA">
      <w:pPr>
        <w:jc w:val="both"/>
      </w:pPr>
    </w:p>
    <w:p w:rsidR="009743AA" w:rsidRPr="004014C7" w:rsidRDefault="009743AA" w:rsidP="009743AA">
      <w:pPr>
        <w:jc w:val="both"/>
      </w:pPr>
      <w:r w:rsidRPr="004014C7">
        <w:t xml:space="preserve">     Для реакции (2.37) константа равновесия выражается уравнением                           </w:t>
      </w:r>
    </w:p>
    <w:p w:rsidR="009743AA" w:rsidRPr="004014C7" w:rsidRDefault="009743AA" w:rsidP="009743AA">
      <w:pPr>
        <w:jc w:val="both"/>
      </w:pPr>
    </w:p>
    <w:p w:rsidR="009743AA" w:rsidRPr="004014C7" w:rsidRDefault="009743AA" w:rsidP="009743AA">
      <w:pPr>
        <w:ind w:left="1416" w:firstLine="708"/>
        <w:jc w:val="center"/>
      </w:pPr>
      <w:r w:rsidRPr="004014C7">
        <w:t xml:space="preserve">             </w:t>
      </w:r>
      <w:r w:rsidRPr="004014C7">
        <w:rPr>
          <w:lang w:val="en-US"/>
        </w:rPr>
        <w:t>K</w:t>
      </w:r>
      <w:r w:rsidRPr="004014C7">
        <w:rPr>
          <w:vertAlign w:val="subscript"/>
          <w:lang w:val="en-US"/>
        </w:rPr>
        <w:t>P</w:t>
      </w:r>
      <w:r w:rsidRPr="004014C7">
        <w:t xml:space="preserve"> = </w:t>
      </w:r>
      <w:r w:rsidRPr="004014C7">
        <w:rPr>
          <w:position w:val="-38"/>
          <w:lang w:val="en-US"/>
        </w:rPr>
        <w:object w:dxaOrig="520" w:dyaOrig="760">
          <v:shape id="_x0000_i1029" type="#_x0000_t75" style="width:26.25pt;height:38.25pt" o:ole="">
            <v:imagedata r:id="rId14" o:title=""/>
          </v:shape>
          <o:OLEObject Type="Embed" ProgID="Equation.3" ShapeID="_x0000_i1029" DrawAspect="Content" ObjectID="_1730124672" r:id="rId15"/>
        </w:object>
      </w:r>
      <w:r w:rsidRPr="004014C7">
        <w:t xml:space="preserve">                                 (2.40)</w:t>
      </w:r>
    </w:p>
    <w:p w:rsidR="009743AA" w:rsidRPr="004014C7" w:rsidRDefault="009743AA" w:rsidP="009743AA">
      <w:pPr>
        <w:jc w:val="both"/>
      </w:pPr>
    </w:p>
    <w:p w:rsidR="009743AA" w:rsidRPr="004014C7" w:rsidRDefault="009743AA" w:rsidP="009743AA">
      <w:pPr>
        <w:jc w:val="both"/>
      </w:pPr>
      <w:r w:rsidRPr="004014C7">
        <w:t xml:space="preserve">     Образование сульфата металла обусловливается соотношением  парциальных давлений </w:t>
      </w:r>
      <w:r w:rsidRPr="004014C7">
        <w:rPr>
          <w:position w:val="-14"/>
        </w:rPr>
        <w:object w:dxaOrig="460" w:dyaOrig="380">
          <v:shape id="_x0000_i1030" type="#_x0000_t75" style="width:23.25pt;height:18.75pt" o:ole="">
            <v:imagedata r:id="rId8" o:title=""/>
          </v:shape>
          <o:OLEObject Type="Embed" ProgID="Equation.3" ShapeID="_x0000_i1030" DrawAspect="Content" ObjectID="_1730124673" r:id="rId16"/>
        </w:object>
      </w:r>
      <w:r w:rsidRPr="004014C7">
        <w:t xml:space="preserve">(2.36) и </w:t>
      </w:r>
      <w:r w:rsidRPr="004014C7">
        <w:rPr>
          <w:position w:val="-14"/>
        </w:rPr>
        <w:object w:dxaOrig="440" w:dyaOrig="400">
          <v:shape id="_x0000_i1031" type="#_x0000_t75" style="width:21.75pt;height:20.25pt" o:ole="">
            <v:imagedata r:id="rId17" o:title=""/>
          </v:shape>
          <o:OLEObject Type="Embed" ProgID="Equation.3" ShapeID="_x0000_i1031" DrawAspect="Content" ObjectID="_1730124674" r:id="rId18"/>
        </w:object>
      </w:r>
      <w:r w:rsidRPr="004014C7">
        <w:t xml:space="preserve">(2.37). Если </w:t>
      </w:r>
      <w:r w:rsidRPr="004014C7">
        <w:rPr>
          <w:position w:val="-14"/>
        </w:rPr>
        <w:object w:dxaOrig="460" w:dyaOrig="380">
          <v:shape id="_x0000_i1032" type="#_x0000_t75" style="width:23.25pt;height:18.75pt" o:ole="">
            <v:imagedata r:id="rId8" o:title=""/>
          </v:shape>
          <o:OLEObject Type="Embed" ProgID="Equation.3" ShapeID="_x0000_i1032" DrawAspect="Content" ObjectID="_1730124675" r:id="rId19"/>
        </w:object>
      </w:r>
      <w:r w:rsidRPr="004014C7">
        <w:t xml:space="preserve">&gt; </w:t>
      </w:r>
      <w:r w:rsidRPr="004014C7">
        <w:rPr>
          <w:position w:val="-14"/>
        </w:rPr>
        <w:object w:dxaOrig="440" w:dyaOrig="400">
          <v:shape id="_x0000_i1033" type="#_x0000_t75" style="width:21.75pt;height:20.25pt" o:ole="">
            <v:imagedata r:id="rId17" o:title=""/>
          </v:shape>
          <o:OLEObject Type="Embed" ProgID="Equation.3" ShapeID="_x0000_i1033" DrawAspect="Content" ObjectID="_1730124676" r:id="rId20"/>
        </w:object>
      </w:r>
      <w:r w:rsidRPr="004014C7">
        <w:t xml:space="preserve">, что отвечает условию </w:t>
      </w:r>
      <w:r w:rsidRPr="004014C7">
        <w:rPr>
          <w:position w:val="-14"/>
        </w:rPr>
        <w:object w:dxaOrig="440" w:dyaOrig="380">
          <v:shape id="_x0000_i1034" type="#_x0000_t75" style="width:21.75pt;height:18.75pt" o:ole="">
            <v:imagedata r:id="rId10" o:title=""/>
          </v:shape>
          <o:OLEObject Type="Embed" ProgID="Equation.3" ShapeID="_x0000_i1034" DrawAspect="Content" ObjectID="_1730124677" r:id="rId21"/>
        </w:object>
      </w:r>
      <w:r w:rsidRPr="004014C7">
        <w:rPr>
          <w:position w:val="-16"/>
        </w:rPr>
        <w:object w:dxaOrig="1199" w:dyaOrig="440">
          <v:shape id="_x0000_i1035" type="#_x0000_t75" style="width:60pt;height:21.75pt" o:ole="">
            <v:imagedata r:id="rId22" o:title=""/>
          </v:shape>
          <o:OLEObject Type="Embed" ProgID="Equation.3" ShapeID="_x0000_i1035" DrawAspect="Content" ObjectID="_1730124678" r:id="rId23"/>
        </w:object>
      </w:r>
      <w:r w:rsidRPr="004014C7">
        <w:t>&gt;</w:t>
      </w:r>
      <w:r w:rsidRPr="004014C7">
        <w:rPr>
          <w:position w:val="-38"/>
          <w:lang w:val="en-US"/>
        </w:rPr>
        <w:object w:dxaOrig="520" w:dyaOrig="760">
          <v:shape id="_x0000_i1036" type="#_x0000_t75" style="width:26.25pt;height:38.25pt" o:ole="">
            <v:imagedata r:id="rId14" o:title=""/>
          </v:shape>
          <o:OLEObject Type="Embed" ProgID="Equation.3" ShapeID="_x0000_i1036" DrawAspect="Content" ObjectID="_1730124679" r:id="rId24"/>
        </w:object>
      </w:r>
      <w:r w:rsidRPr="004014C7">
        <w:t xml:space="preserve">, то в печи будет образовываться сульфат металла. В этих условиях парциальное давление </w:t>
      </w:r>
      <w:r w:rsidRPr="004014C7">
        <w:rPr>
          <w:lang w:val="en-US"/>
        </w:rPr>
        <w:t>SO</w:t>
      </w:r>
      <w:r w:rsidRPr="004014C7">
        <w:rPr>
          <w:vertAlign w:val="subscript"/>
        </w:rPr>
        <w:t>3</w:t>
      </w:r>
      <w:r w:rsidRPr="004014C7">
        <w:t xml:space="preserve"> в печи выше, чем упругость диссоциации сульфата металла. Такой режим соответствует </w:t>
      </w:r>
      <w:proofErr w:type="spellStart"/>
      <w:r w:rsidRPr="004014C7">
        <w:t>сульфатизирующему</w:t>
      </w:r>
      <w:proofErr w:type="spellEnd"/>
      <w:r w:rsidRPr="004014C7">
        <w:t xml:space="preserve"> обжигу.</w:t>
      </w:r>
    </w:p>
    <w:p w:rsidR="009743AA" w:rsidRPr="004014C7" w:rsidRDefault="009743AA" w:rsidP="009743AA">
      <w:pPr>
        <w:jc w:val="both"/>
      </w:pPr>
      <w:r w:rsidRPr="004014C7">
        <w:t xml:space="preserve">     Если же </w:t>
      </w:r>
      <w:r w:rsidRPr="004014C7">
        <w:rPr>
          <w:position w:val="-14"/>
        </w:rPr>
        <w:object w:dxaOrig="460" w:dyaOrig="380">
          <v:shape id="_x0000_i1037" type="#_x0000_t75" style="width:23.25pt;height:18.75pt" o:ole="">
            <v:imagedata r:id="rId8" o:title=""/>
          </v:shape>
          <o:OLEObject Type="Embed" ProgID="Equation.3" ShapeID="_x0000_i1037" DrawAspect="Content" ObjectID="_1730124680" r:id="rId25"/>
        </w:object>
      </w:r>
      <w:r w:rsidRPr="004014C7">
        <w:t xml:space="preserve">&lt; </w:t>
      </w:r>
      <w:r w:rsidRPr="004014C7">
        <w:rPr>
          <w:position w:val="-14"/>
        </w:rPr>
        <w:object w:dxaOrig="440" w:dyaOrig="400">
          <v:shape id="_x0000_i1038" type="#_x0000_t75" style="width:21.75pt;height:20.25pt" o:ole="">
            <v:imagedata r:id="rId17" o:title=""/>
          </v:shape>
          <o:OLEObject Type="Embed" ProgID="Equation.3" ShapeID="_x0000_i1038" DrawAspect="Content" ObjectID="_1730124681" r:id="rId26"/>
        </w:object>
      </w:r>
      <w:r w:rsidRPr="004014C7">
        <w:t xml:space="preserve">, что отвечает условию  </w:t>
      </w:r>
      <w:r w:rsidRPr="004014C7">
        <w:rPr>
          <w:position w:val="-14"/>
        </w:rPr>
        <w:object w:dxaOrig="440" w:dyaOrig="380">
          <v:shape id="_x0000_i1039" type="#_x0000_t75" style="width:21.75pt;height:18.75pt" o:ole="">
            <v:imagedata r:id="rId10" o:title=""/>
          </v:shape>
          <o:OLEObject Type="Embed" ProgID="Equation.3" ShapeID="_x0000_i1039" DrawAspect="Content" ObjectID="_1730124682" r:id="rId27"/>
        </w:object>
      </w:r>
      <w:r w:rsidRPr="004014C7">
        <w:rPr>
          <w:position w:val="-16"/>
        </w:rPr>
        <w:object w:dxaOrig="1199" w:dyaOrig="440">
          <v:shape id="_x0000_i1040" type="#_x0000_t75" style="width:60pt;height:21.75pt" o:ole="">
            <v:imagedata r:id="rId22" o:title=""/>
          </v:shape>
          <o:OLEObject Type="Embed" ProgID="Equation.3" ShapeID="_x0000_i1040" DrawAspect="Content" ObjectID="_1730124683" r:id="rId28"/>
        </w:object>
      </w:r>
      <w:r w:rsidRPr="004014C7">
        <w:t>&lt;</w:t>
      </w:r>
      <w:r w:rsidRPr="004014C7">
        <w:rPr>
          <w:position w:val="-38"/>
          <w:lang w:val="en-US"/>
        </w:rPr>
        <w:object w:dxaOrig="520" w:dyaOrig="760">
          <v:shape id="_x0000_i1041" type="#_x0000_t75" style="width:26.25pt;height:38.25pt" o:ole="">
            <v:imagedata r:id="rId14" o:title=""/>
          </v:shape>
          <o:OLEObject Type="Embed" ProgID="Equation.3" ShapeID="_x0000_i1041" DrawAspect="Content" ObjectID="_1730124684" r:id="rId29"/>
        </w:object>
      </w:r>
      <w:r w:rsidRPr="004014C7">
        <w:t xml:space="preserve">, то в печи будет образовываться оксид металла. В этом  парциальное давление </w:t>
      </w:r>
      <w:r w:rsidRPr="004014C7">
        <w:rPr>
          <w:lang w:val="en-US"/>
        </w:rPr>
        <w:t>SO</w:t>
      </w:r>
      <w:r w:rsidRPr="004014C7">
        <w:rPr>
          <w:vertAlign w:val="subscript"/>
        </w:rPr>
        <w:t>3</w:t>
      </w:r>
      <w:r w:rsidRPr="004014C7">
        <w:t xml:space="preserve">  в атмосфере печи меньше упругости диссоциации сульфата металла. Такой режим соответствует окислительному обжигу.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Характер протекания процесса обжига существенно зависит от температуры. Проведение обжига при относительно низких температурах (600-700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С) способствует образованию сульфатов (</w:t>
      </w:r>
      <w:proofErr w:type="spellStart"/>
      <w:r>
        <w:rPr>
          <w:sz w:val="28"/>
          <w:szCs w:val="28"/>
        </w:rPr>
        <w:t>сульфатизирующий</w:t>
      </w:r>
      <w:proofErr w:type="spellEnd"/>
      <w:r>
        <w:rPr>
          <w:sz w:val="28"/>
          <w:szCs w:val="28"/>
        </w:rPr>
        <w:t xml:space="preserve"> обжиг).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На образование сульфатов влияет не только температура, но и целый ряд факторов. Так повышенное содержание в концентрате сульфидов, богатых серой (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CuFeS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), которые образуют более легко разложимые сульфаты, чем </w:t>
      </w:r>
      <w:proofErr w:type="spellStart"/>
      <w:r>
        <w:rPr>
          <w:sz w:val="28"/>
          <w:szCs w:val="28"/>
          <w:lang w:val="en-US"/>
        </w:rPr>
        <w:t>ZnSO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,  </w:t>
      </w:r>
      <w:proofErr w:type="spellStart"/>
      <w:r>
        <w:rPr>
          <w:sz w:val="28"/>
          <w:szCs w:val="28"/>
        </w:rPr>
        <w:t>спо</w:t>
      </w:r>
      <w:proofErr w:type="spellEnd"/>
      <w:proofErr w:type="gramStart"/>
      <w:r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обствует</w:t>
      </w:r>
      <w:proofErr w:type="spellEnd"/>
      <w:r>
        <w:rPr>
          <w:sz w:val="28"/>
          <w:szCs w:val="28"/>
        </w:rPr>
        <w:t xml:space="preserve"> образованию сульфатов цинка при обжиге.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Избыток воздуха так же оказывает существенное влияние на образование сульфатов. При увеличении избытка воздуха концентрация кислорода в газовом потоке увеличивается. Это способствует повышенному образованию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а значит повышению парциального давления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в газовой фазе, что способствует образованию сульфатов.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Образование сульфатов зависит от скорости обжига. Чем ниже скорость обжига, тем дольше оксид находится в контакте с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, тем больше образуется сульфатов.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Оксиды железа, меди, цинка, образующиеся в результате обжига, играют роль катализаторов, ускоряющих образование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из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Поэтому их наличие в продуктах обжига также способствует </w:t>
      </w:r>
      <w:proofErr w:type="spellStart"/>
      <w:r>
        <w:rPr>
          <w:sz w:val="28"/>
          <w:szCs w:val="28"/>
        </w:rPr>
        <w:t>сульфатообразованию</w:t>
      </w:r>
      <w:proofErr w:type="spellEnd"/>
      <w:r>
        <w:rPr>
          <w:sz w:val="28"/>
          <w:szCs w:val="28"/>
        </w:rPr>
        <w:t xml:space="preserve">.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Поведение обжига при более высоких температурах способствует образованию оксидов (окислительный обжиг).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Сульфидные цинковые концентраты содержат следующие минералы: </w:t>
      </w:r>
      <w:proofErr w:type="spellStart"/>
      <w:r>
        <w:rPr>
          <w:sz w:val="28"/>
          <w:szCs w:val="28"/>
          <w:lang w:val="en-US"/>
        </w:rPr>
        <w:t>ZnS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PbS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CdS</w:t>
      </w:r>
      <w:proofErr w:type="spellEnd"/>
      <w:proofErr w:type="gramStart"/>
      <w:r>
        <w:rPr>
          <w:sz w:val="28"/>
          <w:szCs w:val="28"/>
        </w:rPr>
        <w:t>,</w:t>
      </w:r>
      <w:proofErr w:type="spellStart"/>
      <w:r>
        <w:rPr>
          <w:sz w:val="28"/>
          <w:szCs w:val="28"/>
          <w:lang w:val="en-US"/>
        </w:rPr>
        <w:t>CuFeS</w:t>
      </w:r>
      <w:proofErr w:type="spellEnd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</w:rPr>
        <w:t>7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8</w:t>
      </w:r>
      <w:r>
        <w:rPr>
          <w:sz w:val="28"/>
          <w:szCs w:val="28"/>
        </w:rPr>
        <w:t xml:space="preserve">, а также силикаты и карбонаты. В процессе обжига происходит термическое разложение высших сульфидов и последующее окисление низших сульфидов.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Термическое разложение высших сульфидов протекает по реакциям:</w:t>
      </w:r>
    </w:p>
    <w:p w:rsidR="009743AA" w:rsidRDefault="009743AA" w:rsidP="009743AA">
      <w:pPr>
        <w:jc w:val="center"/>
        <w:rPr>
          <w:sz w:val="28"/>
          <w:szCs w:val="28"/>
        </w:rPr>
      </w:pPr>
    </w:p>
    <w:p w:rsidR="009743AA" w:rsidRDefault="009743AA" w:rsidP="009743AA">
      <w:pPr>
        <w:ind w:left="1416" w:firstLine="708"/>
        <w:jc w:val="center"/>
        <w:rPr>
          <w:sz w:val="28"/>
          <w:szCs w:val="28"/>
          <w:lang w:val="en-US"/>
        </w:rPr>
      </w:pPr>
      <w:r w:rsidRPr="00BE1CD9"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2FeS = 2FeS + 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             (2.41)</w:t>
      </w:r>
    </w:p>
    <w:p w:rsidR="009743AA" w:rsidRDefault="009743AA" w:rsidP="009743AA">
      <w:pPr>
        <w:jc w:val="center"/>
        <w:rPr>
          <w:sz w:val="28"/>
          <w:szCs w:val="28"/>
          <w:lang w:val="en-US"/>
        </w:rPr>
      </w:pPr>
    </w:p>
    <w:p w:rsidR="009743AA" w:rsidRDefault="009743AA" w:rsidP="009743AA">
      <w:pPr>
        <w:ind w:left="708" w:firstLine="708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4CuFeS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= 2Cu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 + 4FeS + 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   (2.42)</w:t>
      </w:r>
    </w:p>
    <w:p w:rsidR="009743AA" w:rsidRDefault="009743AA" w:rsidP="009743AA">
      <w:pPr>
        <w:jc w:val="center"/>
        <w:rPr>
          <w:sz w:val="28"/>
          <w:szCs w:val="28"/>
          <w:lang w:val="en-US"/>
        </w:rPr>
      </w:pPr>
    </w:p>
    <w:p w:rsidR="009743AA" w:rsidRPr="00BE1CD9" w:rsidRDefault="009743AA" w:rsidP="009743AA">
      <w:pPr>
        <w:ind w:left="1416" w:firstLine="708"/>
        <w:jc w:val="center"/>
        <w:rPr>
          <w:sz w:val="28"/>
          <w:szCs w:val="28"/>
        </w:rPr>
      </w:pPr>
      <w:r w:rsidRPr="00BE1CD9">
        <w:rPr>
          <w:sz w:val="28"/>
          <w:szCs w:val="28"/>
          <w:lang w:val="en-US"/>
        </w:rPr>
        <w:t xml:space="preserve">     </w:t>
      </w:r>
      <w:r w:rsidRPr="00BE1CD9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Fe</w:t>
      </w:r>
      <w:r w:rsidRPr="00BE1CD9">
        <w:rPr>
          <w:sz w:val="28"/>
          <w:szCs w:val="28"/>
          <w:vertAlign w:val="subscript"/>
        </w:rPr>
        <w:t>7</w:t>
      </w:r>
      <w:r>
        <w:rPr>
          <w:sz w:val="28"/>
          <w:szCs w:val="28"/>
          <w:lang w:val="en-US"/>
        </w:rPr>
        <w:t>S</w:t>
      </w:r>
      <w:r w:rsidRPr="00BE1CD9">
        <w:rPr>
          <w:sz w:val="28"/>
          <w:szCs w:val="28"/>
          <w:vertAlign w:val="subscript"/>
        </w:rPr>
        <w:t>8</w:t>
      </w:r>
      <w:r w:rsidRPr="00BE1CD9">
        <w:rPr>
          <w:sz w:val="28"/>
          <w:szCs w:val="28"/>
        </w:rPr>
        <w:t xml:space="preserve"> = 14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 w:rsidRPr="00BE1CD9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S</w:t>
      </w:r>
      <w:r w:rsidRPr="00BE1CD9">
        <w:rPr>
          <w:sz w:val="28"/>
          <w:szCs w:val="28"/>
          <w:vertAlign w:val="subscript"/>
        </w:rPr>
        <w:t>2</w:t>
      </w:r>
      <w:r w:rsidRPr="00BE1CD9">
        <w:rPr>
          <w:sz w:val="28"/>
          <w:szCs w:val="28"/>
        </w:rPr>
        <w:t xml:space="preserve">                           (2.43)</w:t>
      </w:r>
    </w:p>
    <w:p w:rsidR="009743AA" w:rsidRPr="00BE1CD9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jc w:val="both"/>
        <w:rPr>
          <w:sz w:val="28"/>
          <w:szCs w:val="28"/>
        </w:rPr>
      </w:pPr>
      <w:r w:rsidRPr="00BE1CD9">
        <w:rPr>
          <w:sz w:val="28"/>
          <w:szCs w:val="28"/>
        </w:rPr>
        <w:t xml:space="preserve">     </w:t>
      </w:r>
      <w:r>
        <w:rPr>
          <w:sz w:val="28"/>
          <w:szCs w:val="28"/>
        </w:rPr>
        <w:t>Образующаяся элементарная сера окисляется кислородом воздуха по реакции:</w:t>
      </w:r>
    </w:p>
    <w:p w:rsidR="009743AA" w:rsidRDefault="009743AA" w:rsidP="009743AA">
      <w:pPr>
        <w:ind w:left="1416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                    (2.44)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Основной реакцией процесса окислительного обжига сульфидных цинковых концентратов является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ind w:left="708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2</w:t>
      </w:r>
      <w:proofErr w:type="spellStart"/>
      <w:r>
        <w:rPr>
          <w:sz w:val="28"/>
          <w:szCs w:val="28"/>
          <w:lang w:val="en-US"/>
        </w:rPr>
        <w:t>ZnS</w:t>
      </w:r>
      <w:proofErr w:type="spellEnd"/>
      <w:r>
        <w:rPr>
          <w:sz w:val="28"/>
          <w:szCs w:val="28"/>
        </w:rPr>
        <w:t xml:space="preserve"> + 3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 2</w:t>
      </w:r>
      <w:proofErr w:type="spellStart"/>
      <w:r>
        <w:rPr>
          <w:sz w:val="28"/>
          <w:szCs w:val="28"/>
          <w:lang w:val="en-US"/>
        </w:rPr>
        <w:t>ZnO</w:t>
      </w:r>
      <w:proofErr w:type="spellEnd"/>
      <w:r>
        <w:rPr>
          <w:sz w:val="28"/>
          <w:szCs w:val="28"/>
        </w:rPr>
        <w:t xml:space="preserve"> +2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           (2.45)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Частично сульфид цинка окисляется до сульфата: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ind w:left="708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proofErr w:type="spellStart"/>
      <w:r>
        <w:rPr>
          <w:sz w:val="28"/>
          <w:szCs w:val="28"/>
          <w:lang w:val="en-US"/>
        </w:rPr>
        <w:t>ZnS</w:t>
      </w:r>
      <w:proofErr w:type="spellEnd"/>
      <w:r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  <w:lang w:val="en-US"/>
        </w:rPr>
        <w:t>ZnSO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 xml:space="preserve">                                                </w:t>
      </w:r>
      <w:r>
        <w:rPr>
          <w:sz w:val="28"/>
          <w:szCs w:val="28"/>
        </w:rPr>
        <w:t>(2.46)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Сульфид железа в условиях обжига окисляется по реакциям: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9743AA" w:rsidRDefault="009743AA" w:rsidP="009743AA">
      <w:pPr>
        <w:ind w:left="708" w:firstLine="708"/>
        <w:jc w:val="center"/>
        <w:rPr>
          <w:sz w:val="28"/>
          <w:szCs w:val="28"/>
          <w:lang w:val="es-ES"/>
        </w:rPr>
      </w:pPr>
      <w:r w:rsidRPr="00BE1CD9">
        <w:rPr>
          <w:sz w:val="28"/>
          <w:szCs w:val="28"/>
        </w:rPr>
        <w:t xml:space="preserve">     </w:t>
      </w:r>
      <w:r>
        <w:rPr>
          <w:sz w:val="28"/>
          <w:szCs w:val="28"/>
          <w:lang w:val="es-ES"/>
        </w:rPr>
        <w:t>2FeS + 3,5O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= Fe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O</w:t>
      </w:r>
      <w:r>
        <w:rPr>
          <w:sz w:val="28"/>
          <w:szCs w:val="28"/>
          <w:vertAlign w:val="subscript"/>
          <w:lang w:val="es-ES"/>
        </w:rPr>
        <w:t>3</w:t>
      </w:r>
      <w:r>
        <w:rPr>
          <w:sz w:val="28"/>
          <w:szCs w:val="28"/>
          <w:lang w:val="es-ES"/>
        </w:rPr>
        <w:t xml:space="preserve"> + 2SO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       </w:t>
      </w:r>
      <w:r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  <w:lang w:val="es-ES"/>
        </w:rPr>
        <w:t xml:space="preserve">        (2.</w:t>
      </w:r>
      <w:r>
        <w:rPr>
          <w:sz w:val="28"/>
          <w:szCs w:val="28"/>
          <w:lang w:val="en-US"/>
        </w:rPr>
        <w:t>47</w:t>
      </w:r>
      <w:r>
        <w:rPr>
          <w:sz w:val="28"/>
          <w:szCs w:val="28"/>
          <w:lang w:val="es-ES"/>
        </w:rPr>
        <w:t>)</w:t>
      </w:r>
    </w:p>
    <w:p w:rsidR="009743AA" w:rsidRDefault="009743AA" w:rsidP="009743AA">
      <w:pPr>
        <w:jc w:val="center"/>
        <w:rPr>
          <w:sz w:val="28"/>
          <w:szCs w:val="28"/>
          <w:lang w:val="es-ES"/>
        </w:rPr>
      </w:pPr>
    </w:p>
    <w:p w:rsidR="009743AA" w:rsidRDefault="009743AA" w:rsidP="009743AA">
      <w:pPr>
        <w:ind w:left="708" w:firstLine="708"/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en-US"/>
        </w:rPr>
        <w:t xml:space="preserve">      </w:t>
      </w:r>
      <w:r>
        <w:rPr>
          <w:sz w:val="28"/>
          <w:szCs w:val="28"/>
          <w:lang w:val="es-ES"/>
        </w:rPr>
        <w:t>3FeS +  5O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= Fe</w:t>
      </w:r>
      <w:r>
        <w:rPr>
          <w:sz w:val="28"/>
          <w:szCs w:val="28"/>
          <w:vertAlign w:val="subscript"/>
          <w:lang w:val="es-ES"/>
        </w:rPr>
        <w:t>3</w:t>
      </w:r>
      <w:r>
        <w:rPr>
          <w:sz w:val="28"/>
          <w:szCs w:val="28"/>
          <w:lang w:val="es-ES"/>
        </w:rPr>
        <w:t>O</w:t>
      </w:r>
      <w:r>
        <w:rPr>
          <w:sz w:val="28"/>
          <w:szCs w:val="28"/>
          <w:vertAlign w:val="subscript"/>
          <w:lang w:val="es-ES"/>
        </w:rPr>
        <w:t>4</w:t>
      </w:r>
      <w:r>
        <w:rPr>
          <w:sz w:val="28"/>
          <w:szCs w:val="28"/>
          <w:lang w:val="es-ES"/>
        </w:rPr>
        <w:t xml:space="preserve"> + 3SO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     </w:t>
      </w: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s-ES"/>
        </w:rPr>
        <w:t xml:space="preserve">  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s-ES"/>
        </w:rPr>
        <w:t xml:space="preserve">          (2.</w:t>
      </w:r>
      <w:r>
        <w:rPr>
          <w:sz w:val="28"/>
          <w:szCs w:val="28"/>
          <w:lang w:val="en-US"/>
        </w:rPr>
        <w:t>48</w:t>
      </w:r>
      <w:r>
        <w:rPr>
          <w:sz w:val="28"/>
          <w:szCs w:val="28"/>
          <w:lang w:val="es-ES"/>
        </w:rPr>
        <w:t>)</w:t>
      </w:r>
    </w:p>
    <w:p w:rsidR="009743AA" w:rsidRDefault="009743AA" w:rsidP="009743AA">
      <w:pPr>
        <w:jc w:val="center"/>
        <w:rPr>
          <w:sz w:val="28"/>
          <w:szCs w:val="28"/>
          <w:lang w:val="es-ES"/>
        </w:rPr>
      </w:pPr>
    </w:p>
    <w:p w:rsidR="009743AA" w:rsidRPr="00BE1CD9" w:rsidRDefault="009743AA" w:rsidP="009743AA">
      <w:pPr>
        <w:ind w:left="708" w:firstLine="708"/>
        <w:jc w:val="center"/>
        <w:rPr>
          <w:sz w:val="28"/>
          <w:szCs w:val="28"/>
        </w:rPr>
      </w:pPr>
      <w:r w:rsidRPr="00BE1CD9">
        <w:rPr>
          <w:sz w:val="28"/>
          <w:szCs w:val="28"/>
          <w:lang w:val="en-US"/>
        </w:rPr>
        <w:t xml:space="preserve">        </w:t>
      </w:r>
      <w:r w:rsidRPr="00BE1CD9">
        <w:rPr>
          <w:sz w:val="28"/>
          <w:szCs w:val="28"/>
        </w:rPr>
        <w:t>2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 w:rsidRPr="00BE1CD9">
        <w:rPr>
          <w:sz w:val="28"/>
          <w:szCs w:val="28"/>
        </w:rPr>
        <w:t xml:space="preserve"> + 3</w:t>
      </w:r>
      <w:r>
        <w:rPr>
          <w:sz w:val="28"/>
          <w:szCs w:val="28"/>
          <w:lang w:val="en-US"/>
        </w:rPr>
        <w:t>O</w:t>
      </w:r>
      <w:r w:rsidRPr="00BE1CD9">
        <w:rPr>
          <w:sz w:val="28"/>
          <w:szCs w:val="28"/>
          <w:vertAlign w:val="subscript"/>
        </w:rPr>
        <w:t>2</w:t>
      </w:r>
      <w:r w:rsidRPr="00BE1CD9">
        <w:rPr>
          <w:sz w:val="28"/>
          <w:szCs w:val="28"/>
        </w:rPr>
        <w:t xml:space="preserve"> = 2</w:t>
      </w:r>
      <w:proofErr w:type="spellStart"/>
      <w:r>
        <w:rPr>
          <w:sz w:val="28"/>
          <w:szCs w:val="28"/>
          <w:lang w:val="en-US"/>
        </w:rPr>
        <w:t>FeO</w:t>
      </w:r>
      <w:proofErr w:type="spellEnd"/>
      <w:r w:rsidRPr="00BE1CD9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SO</w:t>
      </w:r>
      <w:r w:rsidRPr="00BE1CD9">
        <w:rPr>
          <w:sz w:val="28"/>
          <w:szCs w:val="28"/>
          <w:vertAlign w:val="subscript"/>
        </w:rPr>
        <w:t>2</w:t>
      </w:r>
      <w:r w:rsidRPr="00BE1CD9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</w:t>
      </w:r>
      <w:r w:rsidRPr="00BE1CD9">
        <w:rPr>
          <w:sz w:val="28"/>
          <w:szCs w:val="28"/>
        </w:rPr>
        <w:t xml:space="preserve">           (2.49)</w:t>
      </w:r>
    </w:p>
    <w:p w:rsidR="009743AA" w:rsidRPr="00BE1CD9" w:rsidRDefault="009743AA" w:rsidP="009743AA">
      <w:pPr>
        <w:jc w:val="both"/>
        <w:rPr>
          <w:sz w:val="28"/>
          <w:szCs w:val="28"/>
        </w:rPr>
      </w:pPr>
      <w:r w:rsidRPr="00BE1CD9">
        <w:rPr>
          <w:sz w:val="28"/>
          <w:szCs w:val="28"/>
        </w:rPr>
        <w:t xml:space="preserve"> </w:t>
      </w:r>
    </w:p>
    <w:p w:rsidR="009743AA" w:rsidRDefault="009743AA" w:rsidP="009743AA">
      <w:pPr>
        <w:jc w:val="both"/>
        <w:rPr>
          <w:sz w:val="28"/>
          <w:szCs w:val="28"/>
        </w:rPr>
      </w:pPr>
      <w:r w:rsidRPr="00BE1CD9">
        <w:rPr>
          <w:sz w:val="28"/>
          <w:szCs w:val="28"/>
        </w:rPr>
        <w:t xml:space="preserve">     </w:t>
      </w:r>
      <w:r>
        <w:rPr>
          <w:sz w:val="28"/>
          <w:szCs w:val="28"/>
        </w:rPr>
        <w:t>Окисление других сульфидов может осуществляться по реакциям: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ind w:left="1416" w:firstLine="708"/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PbS + 1,5O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= PbO + SO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   </w:t>
      </w: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s-ES"/>
        </w:rPr>
        <w:t xml:space="preserve"> </w:t>
      </w:r>
      <w:r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  <w:lang w:val="es-ES"/>
        </w:rPr>
        <w:t xml:space="preserve">           (2.</w:t>
      </w:r>
      <w:r>
        <w:rPr>
          <w:sz w:val="28"/>
          <w:szCs w:val="28"/>
          <w:lang w:val="en-US"/>
        </w:rPr>
        <w:t>50</w:t>
      </w:r>
      <w:r>
        <w:rPr>
          <w:sz w:val="28"/>
          <w:szCs w:val="28"/>
          <w:lang w:val="es-ES"/>
        </w:rPr>
        <w:t>)</w:t>
      </w:r>
    </w:p>
    <w:p w:rsidR="009743AA" w:rsidRDefault="009743AA" w:rsidP="009743AA">
      <w:pPr>
        <w:jc w:val="center"/>
        <w:rPr>
          <w:sz w:val="28"/>
          <w:szCs w:val="28"/>
          <w:lang w:val="es-ES"/>
        </w:rPr>
      </w:pPr>
    </w:p>
    <w:p w:rsidR="009743AA" w:rsidRDefault="009743AA" w:rsidP="009743AA">
      <w:pPr>
        <w:ind w:left="1416" w:firstLine="708"/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en-US"/>
        </w:rPr>
        <w:lastRenderedPageBreak/>
        <w:t xml:space="preserve">      </w:t>
      </w:r>
      <w:r>
        <w:rPr>
          <w:sz w:val="28"/>
          <w:szCs w:val="28"/>
          <w:lang w:val="es-ES"/>
        </w:rPr>
        <w:t>PbS + 2O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= PbSO</w:t>
      </w:r>
      <w:r>
        <w:rPr>
          <w:sz w:val="28"/>
          <w:szCs w:val="28"/>
          <w:vertAlign w:val="subscript"/>
          <w:lang w:val="es-ES"/>
        </w:rPr>
        <w:t>4</w:t>
      </w:r>
      <w:r>
        <w:rPr>
          <w:sz w:val="28"/>
          <w:szCs w:val="28"/>
          <w:lang w:val="es-ES"/>
        </w:rPr>
        <w:t xml:space="preserve">         </w:t>
      </w:r>
      <w:r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s-ES"/>
        </w:rPr>
        <w:t xml:space="preserve">               (2.</w:t>
      </w:r>
      <w:r>
        <w:rPr>
          <w:sz w:val="28"/>
          <w:szCs w:val="28"/>
          <w:lang w:val="en-US"/>
        </w:rPr>
        <w:t>51</w:t>
      </w:r>
      <w:r>
        <w:rPr>
          <w:sz w:val="28"/>
          <w:szCs w:val="28"/>
          <w:lang w:val="es-ES"/>
        </w:rPr>
        <w:t>)</w:t>
      </w:r>
    </w:p>
    <w:p w:rsidR="009743AA" w:rsidRDefault="009743AA" w:rsidP="009743AA">
      <w:pPr>
        <w:jc w:val="center"/>
        <w:rPr>
          <w:sz w:val="28"/>
          <w:szCs w:val="28"/>
          <w:lang w:val="es-ES"/>
        </w:rPr>
      </w:pPr>
    </w:p>
    <w:p w:rsidR="009743AA" w:rsidRDefault="009743AA" w:rsidP="009743AA">
      <w:pPr>
        <w:ind w:left="708" w:firstLine="708"/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en-US"/>
        </w:rPr>
        <w:t xml:space="preserve">          </w:t>
      </w:r>
      <w:r>
        <w:rPr>
          <w:sz w:val="28"/>
          <w:szCs w:val="28"/>
          <w:lang w:val="es-ES"/>
        </w:rPr>
        <w:t>Cu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S + 1,5O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= Cu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O + SO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       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s-ES"/>
        </w:rPr>
        <w:t xml:space="preserve">          (2</w:t>
      </w:r>
      <w:r>
        <w:rPr>
          <w:sz w:val="28"/>
          <w:szCs w:val="28"/>
          <w:lang w:val="en-US"/>
        </w:rPr>
        <w:t>.52</w:t>
      </w:r>
      <w:r>
        <w:rPr>
          <w:sz w:val="28"/>
          <w:szCs w:val="28"/>
          <w:lang w:val="es-ES"/>
        </w:rPr>
        <w:t>)</w:t>
      </w:r>
    </w:p>
    <w:p w:rsidR="009743AA" w:rsidRDefault="009743AA" w:rsidP="009743AA">
      <w:pPr>
        <w:jc w:val="center"/>
        <w:rPr>
          <w:sz w:val="28"/>
          <w:szCs w:val="28"/>
          <w:lang w:val="es-ES"/>
        </w:rPr>
      </w:pPr>
    </w:p>
    <w:p w:rsidR="009743AA" w:rsidRDefault="009743AA" w:rsidP="009743AA">
      <w:pPr>
        <w:ind w:left="1416" w:firstLine="708"/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en-US"/>
        </w:rPr>
        <w:t xml:space="preserve">       </w:t>
      </w:r>
      <w:r>
        <w:rPr>
          <w:sz w:val="28"/>
          <w:szCs w:val="28"/>
          <w:lang w:val="es-ES"/>
        </w:rPr>
        <w:t>2Cu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O + 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= 4CuO                        (2.</w:t>
      </w:r>
      <w:r>
        <w:rPr>
          <w:sz w:val="28"/>
          <w:szCs w:val="28"/>
          <w:lang w:val="en-US"/>
        </w:rPr>
        <w:t>53</w:t>
      </w:r>
      <w:r>
        <w:rPr>
          <w:sz w:val="28"/>
          <w:szCs w:val="28"/>
          <w:lang w:val="es-ES"/>
        </w:rPr>
        <w:t>)</w:t>
      </w:r>
    </w:p>
    <w:p w:rsidR="009743AA" w:rsidRDefault="009743AA" w:rsidP="009743AA">
      <w:pPr>
        <w:jc w:val="center"/>
        <w:rPr>
          <w:sz w:val="28"/>
          <w:szCs w:val="28"/>
          <w:lang w:val="es-ES"/>
        </w:rPr>
      </w:pPr>
    </w:p>
    <w:p w:rsidR="009743AA" w:rsidRDefault="009743AA" w:rsidP="009743AA">
      <w:pPr>
        <w:ind w:left="1416" w:firstLine="708"/>
        <w:jc w:val="center"/>
        <w:rPr>
          <w:sz w:val="28"/>
          <w:szCs w:val="28"/>
        </w:rPr>
      </w:pPr>
      <w:r w:rsidRPr="00BE1CD9">
        <w:rPr>
          <w:sz w:val="28"/>
          <w:szCs w:val="28"/>
          <w:lang w:val="en-US"/>
        </w:rPr>
        <w:t xml:space="preserve">  </w:t>
      </w:r>
      <w:proofErr w:type="spellStart"/>
      <w:r>
        <w:rPr>
          <w:sz w:val="28"/>
          <w:szCs w:val="28"/>
          <w:lang w:val="en-US"/>
        </w:rPr>
        <w:t>CdS</w:t>
      </w:r>
      <w:proofErr w:type="spellEnd"/>
      <w:r>
        <w:rPr>
          <w:sz w:val="28"/>
          <w:szCs w:val="28"/>
        </w:rPr>
        <w:t xml:space="preserve"> + 1,5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  </w:t>
      </w:r>
      <w:proofErr w:type="spellStart"/>
      <w:r>
        <w:rPr>
          <w:sz w:val="28"/>
          <w:szCs w:val="28"/>
          <w:lang w:val="en-US"/>
        </w:rPr>
        <w:t>CdO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     (2.54)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процессе обжига возможно образование ферритов, так оксид железа (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)  при температуре выше 650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 связывает оксиды  меди, цинка и кадмия в ферриты по реакции: 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Pr="00BE1CD9" w:rsidRDefault="009743AA" w:rsidP="009743AA">
      <w:pPr>
        <w:ind w:left="708" w:firstLine="708"/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  <w:lang w:val="es-ES"/>
        </w:rPr>
        <w:t>MeO + Fe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O</w:t>
      </w:r>
      <w:r>
        <w:rPr>
          <w:sz w:val="28"/>
          <w:szCs w:val="28"/>
          <w:vertAlign w:val="subscript"/>
          <w:lang w:val="es-ES"/>
        </w:rPr>
        <w:t>3</w:t>
      </w:r>
      <w:r>
        <w:rPr>
          <w:sz w:val="28"/>
          <w:szCs w:val="28"/>
          <w:lang w:val="es-ES"/>
        </w:rPr>
        <w:t xml:space="preserve"> =MeO·Fe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O</w:t>
      </w:r>
      <w:r>
        <w:rPr>
          <w:sz w:val="28"/>
          <w:szCs w:val="28"/>
          <w:vertAlign w:val="subscript"/>
          <w:lang w:val="es-ES"/>
        </w:rPr>
        <w:t>3</w:t>
      </w:r>
      <w:r>
        <w:rPr>
          <w:sz w:val="28"/>
          <w:szCs w:val="28"/>
          <w:lang w:val="es-ES"/>
        </w:rPr>
        <w:t xml:space="preserve">                   (2.55)</w:t>
      </w:r>
    </w:p>
    <w:p w:rsidR="009743AA" w:rsidRPr="00BE1CD9" w:rsidRDefault="009743AA" w:rsidP="009743AA">
      <w:pPr>
        <w:ind w:left="708" w:firstLine="708"/>
        <w:jc w:val="center"/>
        <w:rPr>
          <w:sz w:val="28"/>
          <w:szCs w:val="28"/>
          <w:lang w:val="en-US"/>
        </w:rPr>
      </w:pPr>
    </w:p>
    <w:p w:rsidR="009743AA" w:rsidRPr="00BE1CD9" w:rsidRDefault="009743AA" w:rsidP="009743AA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где</w:t>
      </w:r>
      <w:r>
        <w:rPr>
          <w:sz w:val="28"/>
          <w:szCs w:val="28"/>
          <w:lang w:val="es-ES"/>
        </w:rPr>
        <w:t xml:space="preserve"> </w:t>
      </w:r>
      <w:proofErr w:type="spellStart"/>
      <w:r>
        <w:rPr>
          <w:sz w:val="28"/>
          <w:szCs w:val="28"/>
        </w:rPr>
        <w:t>Ме</w:t>
      </w:r>
      <w:proofErr w:type="spellEnd"/>
      <w:r w:rsidRPr="00BE1CD9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s-ES"/>
        </w:rPr>
        <w:t>- Zn,Cd, Cu</w:t>
      </w:r>
      <w:r w:rsidRPr="00BE1CD9">
        <w:rPr>
          <w:sz w:val="28"/>
          <w:szCs w:val="28"/>
          <w:lang w:val="en-US"/>
        </w:rPr>
        <w:t>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  <w:lang w:val="es-ES"/>
        </w:rPr>
        <w:t xml:space="preserve">      </w:t>
      </w:r>
      <w:r>
        <w:rPr>
          <w:sz w:val="28"/>
          <w:szCs w:val="28"/>
        </w:rPr>
        <w:t xml:space="preserve">В концентрате всегда содержится некоторое количество карбоната кальция, который в процессе обжига подвергается термическому разложению: </w:t>
      </w:r>
    </w:p>
    <w:p w:rsidR="009743AA" w:rsidRDefault="009743AA" w:rsidP="009743AA">
      <w:pPr>
        <w:jc w:val="both"/>
        <w:rPr>
          <w:sz w:val="28"/>
          <w:szCs w:val="28"/>
          <w:vertAlign w:val="subscript"/>
        </w:rPr>
      </w:pPr>
    </w:p>
    <w:p w:rsidR="009743AA" w:rsidRDefault="009743AA" w:rsidP="009743AA">
      <w:pPr>
        <w:ind w:left="708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proofErr w:type="spellStart"/>
      <w:r>
        <w:rPr>
          <w:sz w:val="28"/>
          <w:szCs w:val="28"/>
          <w:lang w:val="en-US"/>
        </w:rPr>
        <w:t>CaCO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              (2.56)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Оксид кальция в условиях обжига переходит в сульфат по реакции: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ind w:left="708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spellStart"/>
      <w:r>
        <w:rPr>
          <w:sz w:val="28"/>
          <w:szCs w:val="28"/>
          <w:lang w:val="en-US"/>
        </w:rPr>
        <w:t>CaO</w:t>
      </w:r>
      <w:proofErr w:type="spellEnd"/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+ 0,5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  <w:lang w:val="en-US"/>
        </w:rPr>
        <w:t>CaSO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                   (2.57)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Мышьяк и сурьма содержатся в цинковом концентрате в виде сульфидов </w:t>
      </w:r>
      <w:proofErr w:type="spellStart"/>
      <w:r>
        <w:rPr>
          <w:sz w:val="28"/>
          <w:szCs w:val="28"/>
          <w:lang w:val="en-US"/>
        </w:rPr>
        <w:t>FeAsS</w:t>
      </w:r>
      <w:proofErr w:type="spellEnd"/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As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  <w:lang w:val="en-US"/>
        </w:rPr>
        <w:t>Sb</w:t>
      </w:r>
      <w:proofErr w:type="spellEnd"/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. В окислительной атмосфере обжига они окисляются по реакциям:  </w:t>
      </w:r>
    </w:p>
    <w:p w:rsidR="009743AA" w:rsidRPr="00BE1CD9" w:rsidRDefault="009743AA" w:rsidP="009743AA">
      <w:pPr>
        <w:ind w:firstLine="708"/>
        <w:jc w:val="center"/>
        <w:rPr>
          <w:sz w:val="28"/>
          <w:szCs w:val="28"/>
        </w:rPr>
      </w:pPr>
      <w:r w:rsidRPr="00BE1CD9">
        <w:rPr>
          <w:sz w:val="28"/>
          <w:szCs w:val="28"/>
        </w:rPr>
        <w:t xml:space="preserve">     2</w:t>
      </w:r>
      <w:proofErr w:type="spellStart"/>
      <w:r>
        <w:rPr>
          <w:sz w:val="28"/>
          <w:szCs w:val="28"/>
          <w:lang w:val="en-US"/>
        </w:rPr>
        <w:t>FeAsS</w:t>
      </w:r>
      <w:proofErr w:type="spellEnd"/>
      <w:r w:rsidRPr="00BE1CD9">
        <w:rPr>
          <w:sz w:val="28"/>
          <w:szCs w:val="28"/>
        </w:rPr>
        <w:t xml:space="preserve"> + 5</w:t>
      </w:r>
      <w:r>
        <w:rPr>
          <w:sz w:val="28"/>
          <w:szCs w:val="28"/>
          <w:lang w:val="en-US"/>
        </w:rPr>
        <w:t>O</w:t>
      </w:r>
      <w:r w:rsidRPr="00BE1CD9">
        <w:rPr>
          <w:sz w:val="28"/>
          <w:szCs w:val="28"/>
          <w:vertAlign w:val="subscript"/>
        </w:rPr>
        <w:t>2</w:t>
      </w:r>
      <w:r w:rsidRPr="00BE1CD9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Fe</w:t>
      </w:r>
      <w:r w:rsidRPr="00BE1CD9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E1CD9">
        <w:rPr>
          <w:sz w:val="28"/>
          <w:szCs w:val="28"/>
          <w:vertAlign w:val="subscript"/>
        </w:rPr>
        <w:t>3</w:t>
      </w:r>
      <w:r w:rsidRPr="00BE1CD9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As</w:t>
      </w:r>
      <w:r w:rsidRPr="00BE1CD9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BE1CD9">
        <w:rPr>
          <w:sz w:val="28"/>
          <w:szCs w:val="28"/>
          <w:vertAlign w:val="subscript"/>
        </w:rPr>
        <w:t>3</w:t>
      </w:r>
      <w:r w:rsidRPr="00BE1CD9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SO</w:t>
      </w:r>
      <w:r w:rsidRPr="00BE1CD9">
        <w:rPr>
          <w:sz w:val="28"/>
          <w:szCs w:val="28"/>
          <w:vertAlign w:val="subscript"/>
        </w:rPr>
        <w:t>2</w:t>
      </w:r>
      <w:r w:rsidRPr="00BE1CD9">
        <w:rPr>
          <w:sz w:val="28"/>
          <w:szCs w:val="28"/>
        </w:rPr>
        <w:t xml:space="preserve">             (2.58)</w:t>
      </w:r>
    </w:p>
    <w:p w:rsidR="009743AA" w:rsidRPr="00BE1CD9" w:rsidRDefault="009743AA" w:rsidP="009743AA">
      <w:pPr>
        <w:jc w:val="center"/>
        <w:rPr>
          <w:sz w:val="28"/>
          <w:szCs w:val="28"/>
        </w:rPr>
      </w:pPr>
    </w:p>
    <w:p w:rsidR="009743AA" w:rsidRDefault="009743AA" w:rsidP="009743AA">
      <w:pPr>
        <w:ind w:left="708" w:firstLine="708"/>
        <w:jc w:val="center"/>
        <w:rPr>
          <w:sz w:val="28"/>
          <w:szCs w:val="28"/>
          <w:lang w:val="en-US"/>
        </w:rPr>
      </w:pPr>
      <w:r w:rsidRPr="00BE1CD9">
        <w:rPr>
          <w:sz w:val="28"/>
          <w:szCs w:val="28"/>
        </w:rPr>
        <w:t xml:space="preserve">   </w:t>
      </w:r>
      <w:r>
        <w:rPr>
          <w:sz w:val="28"/>
          <w:szCs w:val="28"/>
          <w:lang w:val="en-US"/>
        </w:rPr>
        <w:t>2As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+ 9O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= 2As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+6SO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 (2.59)</w:t>
      </w:r>
    </w:p>
    <w:p w:rsidR="009743AA" w:rsidRDefault="009743AA" w:rsidP="009743AA">
      <w:pPr>
        <w:jc w:val="center"/>
        <w:rPr>
          <w:sz w:val="28"/>
          <w:szCs w:val="28"/>
          <w:lang w:val="en-US"/>
        </w:rPr>
      </w:pPr>
    </w:p>
    <w:p w:rsidR="009743AA" w:rsidRDefault="009743AA" w:rsidP="009743AA">
      <w:pPr>
        <w:ind w:left="708" w:firstLine="708"/>
        <w:jc w:val="center"/>
        <w:rPr>
          <w:sz w:val="28"/>
          <w:szCs w:val="28"/>
          <w:lang w:val="en-US"/>
        </w:rPr>
      </w:pPr>
      <w:r w:rsidRPr="00BE1CD9"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  <w:lang w:val="en-US"/>
        </w:rPr>
        <w:t>2Sb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+ 9O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= 2Sb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+6SO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(2.60)</w:t>
      </w:r>
    </w:p>
    <w:p w:rsidR="009743AA" w:rsidRDefault="009743AA" w:rsidP="009743AA">
      <w:pPr>
        <w:jc w:val="both"/>
        <w:rPr>
          <w:sz w:val="28"/>
          <w:szCs w:val="28"/>
          <w:lang w:val="en-US"/>
        </w:rPr>
      </w:pP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>Хотя оксиды мышьяка (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) и сурьмы (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)  являются летучими соединениями, полностью отогнать их из огарка не удаётся, так как они быстро окисляются до нелетучих пятивалентных оксидов (</w:t>
      </w:r>
      <w:r>
        <w:rPr>
          <w:sz w:val="28"/>
          <w:szCs w:val="28"/>
          <w:lang w:val="en-US"/>
        </w:rPr>
        <w:t>As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Sb</w:t>
      </w:r>
      <w:proofErr w:type="spellEnd"/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) и в контакте с другими оксидами устойчивые нелетучие арсенаты и </w:t>
      </w:r>
      <w:proofErr w:type="spellStart"/>
      <w:r>
        <w:rPr>
          <w:sz w:val="28"/>
          <w:szCs w:val="28"/>
        </w:rPr>
        <w:t>антимонаты</w:t>
      </w:r>
      <w:proofErr w:type="spellEnd"/>
      <w:r>
        <w:rPr>
          <w:sz w:val="28"/>
          <w:szCs w:val="28"/>
        </w:rPr>
        <w:t>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Серебро содержится в цинковом концентрате в виде сульфида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, который в условиях обжига восстанавливается до металлического серебра: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ind w:left="708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           (2.61)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Металлическое серебро остаётся в огарке.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Золото в концентрате находится в виде тонких металлических вкраплений и никаких изменений в процессе обжига не претерпевает.         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Огарок, получаемый  в процессе обжига, состоит из следующих компонентов: цинк – </w:t>
      </w:r>
      <w:proofErr w:type="spellStart"/>
      <w:r>
        <w:rPr>
          <w:sz w:val="28"/>
          <w:szCs w:val="28"/>
          <w:lang w:val="en-US"/>
        </w:rPr>
        <w:t>ZnO</w:t>
      </w:r>
      <w:proofErr w:type="spellEnd"/>
      <w:r>
        <w:rPr>
          <w:sz w:val="28"/>
          <w:szCs w:val="28"/>
        </w:rPr>
        <w:t>, ZnSO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ZnS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ZnO</w:t>
      </w:r>
      <w:proofErr w:type="spellEnd"/>
      <w:r>
        <w:rPr>
          <w:sz w:val="28"/>
          <w:szCs w:val="28"/>
        </w:rPr>
        <w:t>·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</w:t>
      </w:r>
      <w:proofErr w:type="gramStart"/>
      <w:r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винец</w:t>
      </w:r>
      <w:proofErr w:type="spellEnd"/>
      <w:r>
        <w:rPr>
          <w:sz w:val="28"/>
          <w:szCs w:val="28"/>
        </w:rPr>
        <w:t xml:space="preserve"> - 50% </w:t>
      </w:r>
      <w:proofErr w:type="spellStart"/>
      <w:r>
        <w:rPr>
          <w:sz w:val="28"/>
          <w:szCs w:val="28"/>
          <w:lang w:val="en-US"/>
        </w:rPr>
        <w:t>PbO</w:t>
      </w:r>
      <w:proofErr w:type="spellEnd"/>
      <w:r>
        <w:rPr>
          <w:sz w:val="28"/>
          <w:szCs w:val="28"/>
        </w:rPr>
        <w:t xml:space="preserve">, 50% - </w:t>
      </w:r>
      <w:proofErr w:type="spellStart"/>
      <w:r>
        <w:rPr>
          <w:sz w:val="28"/>
          <w:szCs w:val="28"/>
          <w:lang w:val="en-US"/>
        </w:rPr>
        <w:t>PbSO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; медь – 70% - </w:t>
      </w:r>
      <w:proofErr w:type="spellStart"/>
      <w:r>
        <w:rPr>
          <w:sz w:val="28"/>
          <w:szCs w:val="28"/>
          <w:lang w:val="en-US"/>
        </w:rPr>
        <w:t>CuO</w:t>
      </w:r>
      <w:proofErr w:type="spellEnd"/>
      <w:r>
        <w:rPr>
          <w:sz w:val="28"/>
          <w:szCs w:val="28"/>
        </w:rPr>
        <w:t xml:space="preserve">, 30% - </w:t>
      </w:r>
      <w:proofErr w:type="spellStart"/>
      <w:r>
        <w:rPr>
          <w:sz w:val="28"/>
          <w:szCs w:val="28"/>
          <w:lang w:val="en-US"/>
        </w:rPr>
        <w:t>CuO</w:t>
      </w:r>
      <w:proofErr w:type="spellEnd"/>
      <w:r>
        <w:rPr>
          <w:sz w:val="28"/>
          <w:szCs w:val="28"/>
        </w:rPr>
        <w:t>·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кадмий - 70% - </w:t>
      </w:r>
      <w:proofErr w:type="spellStart"/>
      <w:r>
        <w:rPr>
          <w:sz w:val="28"/>
          <w:szCs w:val="28"/>
          <w:lang w:val="en-US"/>
        </w:rPr>
        <w:t>CdO</w:t>
      </w:r>
      <w:proofErr w:type="spellEnd"/>
      <w:r>
        <w:rPr>
          <w:sz w:val="28"/>
          <w:szCs w:val="28"/>
        </w:rPr>
        <w:t xml:space="preserve">, 30% - </w:t>
      </w:r>
      <w:proofErr w:type="spellStart"/>
      <w:r>
        <w:rPr>
          <w:sz w:val="28"/>
          <w:szCs w:val="28"/>
          <w:lang w:val="en-US"/>
        </w:rPr>
        <w:t>CdO</w:t>
      </w:r>
      <w:proofErr w:type="spellEnd"/>
      <w:r>
        <w:rPr>
          <w:sz w:val="28"/>
          <w:szCs w:val="28"/>
        </w:rPr>
        <w:t>·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 железо - 90% ферриты, 5% - </w:t>
      </w:r>
      <w:proofErr w:type="spellStart"/>
      <w:r>
        <w:rPr>
          <w:sz w:val="28"/>
          <w:szCs w:val="28"/>
          <w:lang w:val="en-US"/>
        </w:rPr>
        <w:t>FeO</w:t>
      </w:r>
      <w:proofErr w:type="spellEnd"/>
      <w:r>
        <w:rPr>
          <w:sz w:val="28"/>
          <w:szCs w:val="28"/>
        </w:rPr>
        <w:t>, 5% -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; кальций -100% </w:t>
      </w:r>
      <w:proofErr w:type="spellStart"/>
      <w:r>
        <w:rPr>
          <w:sz w:val="28"/>
          <w:szCs w:val="28"/>
          <w:lang w:val="en-US"/>
        </w:rPr>
        <w:t>CaSO</w:t>
      </w:r>
      <w:proofErr w:type="spellEnd"/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процессе взаимодействия между основными и кислотными оксидами возможно образование сульфатов, арсенатов, </w:t>
      </w:r>
      <w:proofErr w:type="spellStart"/>
      <w:r>
        <w:rPr>
          <w:sz w:val="28"/>
          <w:szCs w:val="28"/>
        </w:rPr>
        <w:t>антимонатов</w:t>
      </w:r>
      <w:proofErr w:type="spellEnd"/>
      <w:r>
        <w:rPr>
          <w:sz w:val="28"/>
          <w:szCs w:val="28"/>
        </w:rPr>
        <w:t>, ферритов и силикатов. Наиболее существенными побочными реакциями обжига следует считать образование ферритов цинка  и силикатов свинца и цинка. Их образование является нежелательным. Так феррит цинка плохо растворяется в водных растворах серной кислоты, а силикаты при  выщелачивании образуют коллоидную кремневую кислоту, которая затрудняет процессы фильтрования и отстаивания пульпы.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цинковом концентрате в незначительном количестве содержатся таллий, индий, галлий, германий, селен и теллур. При обжиге основная масса таллия, часть селена и теллура  возгоняется и уносится с газами. В огарке </w:t>
      </w:r>
      <w:proofErr w:type="gramStart"/>
      <w:r>
        <w:rPr>
          <w:sz w:val="28"/>
          <w:szCs w:val="28"/>
        </w:rPr>
        <w:t>остаются</w:t>
      </w:r>
      <w:proofErr w:type="gramEnd"/>
      <w:r>
        <w:rPr>
          <w:sz w:val="28"/>
          <w:szCs w:val="28"/>
        </w:rPr>
        <w:t xml:space="preserve"> часть селена, теллура, индий, галлий, германий.    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Все оксиды пустой породы в процессе обжига практически не претерпевают изменений и переходят в огарок. 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Огарок содержит порядка 55-65% </w:t>
      </w:r>
      <w:proofErr w:type="spellStart"/>
      <w:r>
        <w:rPr>
          <w:sz w:val="28"/>
          <w:szCs w:val="28"/>
        </w:rPr>
        <w:t>Zn</w:t>
      </w:r>
      <w:proofErr w:type="spellEnd"/>
      <w:r>
        <w:rPr>
          <w:sz w:val="28"/>
          <w:szCs w:val="28"/>
        </w:rPr>
        <w:t>. В нём остаётся до 0,5% сульфидной и образовывается до 2% сульфатной серы.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Технология  процесса обжига</w:t>
      </w:r>
    </w:p>
    <w:p w:rsidR="009743AA" w:rsidRDefault="009743AA" w:rsidP="009743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настоящее время процесс обжига цинковых концентратов осуществляют в печах кипящего слоя. Этот процесс является автогенным и характеризуется высокой производительностью, стабильным режимом и высоким качеством получаемого огарка. Для обжига цинковых концентратов используют цилиндрические печи диаметром 5-7м, высотой 7-12м, с площадью пода 20-40м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Суточная производительность таких печей составляет 3,5-6,0 т/м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площади пода. Схематическое устройство печи приведено на рисунке 2.7.</w:t>
      </w:r>
    </w:p>
    <w:p w:rsidR="009743AA" w:rsidRDefault="009743AA" w:rsidP="009743AA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 xml:space="preserve">     Воздух в печь подается под подину и проходит через отверстия в соплах в рабочее пространство печи, пронизывая находящийся над подиной слой материала, приводя его в </w:t>
      </w:r>
      <w:proofErr w:type="spellStart"/>
      <w:r>
        <w:rPr>
          <w:rFonts w:eastAsia="TimesNewRoman"/>
          <w:sz w:val="28"/>
          <w:szCs w:val="28"/>
        </w:rPr>
        <w:t>псевдоожиженное</w:t>
      </w:r>
      <w:proofErr w:type="spellEnd"/>
      <w:r>
        <w:rPr>
          <w:rFonts w:eastAsia="TimesNewRoman"/>
          <w:sz w:val="28"/>
          <w:szCs w:val="28"/>
        </w:rPr>
        <w:t xml:space="preserve"> состояние.</w:t>
      </w:r>
      <w:r>
        <w:rPr>
          <w:rFonts w:ascii="TimesNewRoman" w:eastAsia="TimesNewRoman" w:cs="TimesNewRoman" w:hint="eastAsia"/>
          <w:color w:val="000000"/>
          <w:sz w:val="28"/>
          <w:szCs w:val="28"/>
        </w:rPr>
        <w:t xml:space="preserve"> </w:t>
      </w:r>
      <w:proofErr w:type="spellStart"/>
      <w:r>
        <w:rPr>
          <w:rFonts w:eastAsia="TimesNewRoman"/>
          <w:color w:val="000000"/>
          <w:sz w:val="28"/>
          <w:szCs w:val="28"/>
        </w:rPr>
        <w:t>Псевдоожижением</w:t>
      </w:r>
      <w:proofErr w:type="spellEnd"/>
      <w:r>
        <w:rPr>
          <w:rFonts w:eastAsia="TimesNewRoman"/>
          <w:color w:val="000000"/>
          <w:sz w:val="28"/>
          <w:szCs w:val="28"/>
        </w:rPr>
        <w:t xml:space="preserve"> называют такое состояние твердого зернистого материала, продуваемого потоком газа, при котором статическое давление слоя уравновешивается   аэродинамическим      давлением     газового   потока. При этом расстояние между зернами сыпучего материала увеличивается, и объем слоя возрастает на 20–50%. Слой становится легкоподвижным и подобно жидкости течет по подине, перетекает через пороги. Этот </w:t>
      </w:r>
      <w:r>
        <w:rPr>
          <w:rFonts w:eastAsia="TimesNewRoman"/>
          <w:sz w:val="28"/>
          <w:szCs w:val="28"/>
        </w:rPr>
        <w:t>слой движется по поду от загрузочной камеры до сливного порога и выгружается из печи.</w:t>
      </w:r>
    </w:p>
    <w:p w:rsidR="009743AA" w:rsidRDefault="009743AA" w:rsidP="009743AA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 xml:space="preserve">     Площадь живого сечения всех сопел обычно составляет 0,7-0,9% от площади подины. Это отвечает наличию порядка 50 сопел на </w:t>
      </w:r>
      <w:smartTag w:uri="urn:schemas-microsoft-com:office:smarttags" w:element="metricconverter">
        <w:smartTagPr>
          <w:attr w:name="ProductID" w:val="1 м2"/>
        </w:smartTagPr>
        <w:r>
          <w:rPr>
            <w:rFonts w:eastAsia="TimesNewRoman"/>
            <w:sz w:val="28"/>
            <w:szCs w:val="28"/>
          </w:rPr>
          <w:t>1 м</w:t>
        </w:r>
        <w:proofErr w:type="gramStart"/>
        <w:r>
          <w:rPr>
            <w:rFonts w:eastAsia="TimesNewRoman"/>
            <w:sz w:val="28"/>
            <w:szCs w:val="28"/>
            <w:vertAlign w:val="superscript"/>
          </w:rPr>
          <w:t>2</w:t>
        </w:r>
      </w:smartTag>
      <w:proofErr w:type="gramEnd"/>
      <w:r>
        <w:rPr>
          <w:rFonts w:eastAsia="TimesNewRoman"/>
          <w:sz w:val="28"/>
          <w:szCs w:val="28"/>
        </w:rPr>
        <w:t xml:space="preserve"> площади пода печи.</w:t>
      </w:r>
    </w:p>
    <w:p w:rsidR="009743AA" w:rsidRDefault="009743AA" w:rsidP="009743AA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:rsidR="009743AA" w:rsidRDefault="009743AA" w:rsidP="009743AA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:rsidR="009743AA" w:rsidRDefault="009743AA" w:rsidP="009743A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05075" cy="3171825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Default="009743AA" w:rsidP="009743A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1-подина; 2- </w:t>
      </w:r>
      <w:proofErr w:type="spellStart"/>
      <w:r>
        <w:rPr>
          <w:sz w:val="28"/>
          <w:szCs w:val="28"/>
        </w:rPr>
        <w:t>форкамера</w:t>
      </w:r>
      <w:proofErr w:type="spellEnd"/>
      <w:r>
        <w:rPr>
          <w:sz w:val="28"/>
          <w:szCs w:val="28"/>
        </w:rPr>
        <w:t xml:space="preserve">; 3-загрузочное устройство; 4- корпус печи; </w:t>
      </w:r>
    </w:p>
    <w:p w:rsidR="009743AA" w:rsidRDefault="009743AA" w:rsidP="009743A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5 - футеровка; 6 - свод; 7  - отверстие для выхода газов; </w:t>
      </w:r>
    </w:p>
    <w:p w:rsidR="009743AA" w:rsidRDefault="009743AA" w:rsidP="009743A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8- сливной порог для выгрузки огарка; 9 -сопло для подачи воздуха; </w:t>
      </w:r>
    </w:p>
    <w:p w:rsidR="009743AA" w:rsidRDefault="009743AA" w:rsidP="009743AA">
      <w:pPr>
        <w:jc w:val="center"/>
        <w:rPr>
          <w:sz w:val="28"/>
          <w:szCs w:val="28"/>
        </w:rPr>
      </w:pPr>
      <w:r>
        <w:rPr>
          <w:sz w:val="28"/>
          <w:szCs w:val="28"/>
        </w:rPr>
        <w:t>10 - воздухораспределительная коробка; 11 – задвижка</w:t>
      </w:r>
    </w:p>
    <w:p w:rsidR="009743AA" w:rsidRDefault="009743AA" w:rsidP="009743AA">
      <w:pPr>
        <w:jc w:val="center"/>
        <w:rPr>
          <w:sz w:val="28"/>
          <w:szCs w:val="28"/>
        </w:rPr>
      </w:pPr>
    </w:p>
    <w:p w:rsidR="009743AA" w:rsidRDefault="009743AA" w:rsidP="009743AA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2.7 - Принципиальная схема устройства печи кипящего слоя</w:t>
      </w:r>
    </w:p>
    <w:p w:rsidR="009743AA" w:rsidRDefault="009743AA" w:rsidP="009743AA">
      <w:pPr>
        <w:jc w:val="both"/>
        <w:rPr>
          <w:sz w:val="28"/>
          <w:szCs w:val="28"/>
        </w:rPr>
      </w:pPr>
    </w:p>
    <w:p w:rsidR="009743AA" w:rsidRPr="00F4061A" w:rsidRDefault="009743AA" w:rsidP="009743AA">
      <w:pPr>
        <w:autoSpaceDE w:val="0"/>
        <w:autoSpaceDN w:val="0"/>
        <w:adjustRightInd w:val="0"/>
        <w:jc w:val="both"/>
        <w:rPr>
          <w:rFonts w:eastAsia="TimesNewRoman"/>
        </w:rPr>
      </w:pPr>
      <w:r w:rsidRPr="00F4061A">
        <w:rPr>
          <w:rFonts w:eastAsia="TimesNewRoman"/>
        </w:rPr>
        <w:t xml:space="preserve">     Огарок в печь загружается через загрузочную камеру, которую часто называют </w:t>
      </w:r>
      <w:proofErr w:type="spellStart"/>
      <w:r w:rsidRPr="00F4061A">
        <w:rPr>
          <w:rFonts w:eastAsia="TimesNewRoman"/>
        </w:rPr>
        <w:t>форкамерой</w:t>
      </w:r>
      <w:proofErr w:type="spellEnd"/>
      <w:r w:rsidRPr="00F4061A">
        <w:rPr>
          <w:rFonts w:eastAsia="TimesNewRoman"/>
        </w:rPr>
        <w:t xml:space="preserve">. </w:t>
      </w:r>
      <w:proofErr w:type="spellStart"/>
      <w:r w:rsidRPr="00F4061A">
        <w:rPr>
          <w:rFonts w:eastAsia="TimesNewRoman"/>
        </w:rPr>
        <w:t>Форкамера</w:t>
      </w:r>
      <w:proofErr w:type="spellEnd"/>
      <w:r w:rsidRPr="00F4061A">
        <w:rPr>
          <w:rFonts w:eastAsia="TimesNewRoman"/>
        </w:rPr>
        <w:t xml:space="preserve"> является частью рабочего пространства печи и  представляет собой съёмную металлическую коробку, футерованную изнутри огнеупорным кирпичом.  Её площадь составляет порядка 1,0-</w:t>
      </w:r>
      <w:smartTag w:uri="urn:schemas-microsoft-com:office:smarttags" w:element="metricconverter">
        <w:smartTagPr>
          <w:attr w:name="ProductID" w:val="1,5 м2"/>
        </w:smartTagPr>
        <w:r w:rsidRPr="00F4061A">
          <w:rPr>
            <w:rFonts w:eastAsia="TimesNewRoman"/>
          </w:rPr>
          <w:t>1,5 м</w:t>
        </w:r>
        <w:proofErr w:type="gramStart"/>
        <w:r w:rsidRPr="00F4061A">
          <w:rPr>
            <w:rFonts w:eastAsia="TimesNewRoman"/>
            <w:vertAlign w:val="superscript"/>
          </w:rPr>
          <w:t>2</w:t>
        </w:r>
      </w:smartTag>
      <w:proofErr w:type="gramEnd"/>
      <w:r w:rsidRPr="00F4061A">
        <w:rPr>
          <w:rFonts w:eastAsia="TimesNewRoman"/>
        </w:rPr>
        <w:t>.</w:t>
      </w:r>
    </w:p>
    <w:p w:rsidR="009743AA" w:rsidRPr="00F4061A" w:rsidRDefault="009743AA" w:rsidP="009743AA">
      <w:pPr>
        <w:autoSpaceDE w:val="0"/>
        <w:autoSpaceDN w:val="0"/>
        <w:adjustRightInd w:val="0"/>
        <w:jc w:val="both"/>
        <w:rPr>
          <w:rFonts w:eastAsia="TimesNewRoman"/>
        </w:rPr>
      </w:pPr>
      <w:r w:rsidRPr="00F4061A">
        <w:rPr>
          <w:rFonts w:eastAsia="TimesNewRoman"/>
        </w:rPr>
        <w:t xml:space="preserve">     Через воздухораспределительную коробку в печь под давлением 15-25 кПа  подаётся воздух. Скорость подаваемого в печь воздуха составляет 10-12 м/</w:t>
      </w:r>
      <w:proofErr w:type="gramStart"/>
      <w:r w:rsidRPr="00F4061A">
        <w:rPr>
          <w:rFonts w:eastAsia="TimesNewRoman"/>
        </w:rPr>
        <w:t>с</w:t>
      </w:r>
      <w:proofErr w:type="gramEnd"/>
      <w:r w:rsidRPr="00F4061A">
        <w:rPr>
          <w:rFonts w:eastAsia="TimesNewRoman"/>
        </w:rPr>
        <w:t xml:space="preserve">. </w:t>
      </w:r>
      <w:proofErr w:type="gramStart"/>
      <w:r w:rsidRPr="00F4061A">
        <w:rPr>
          <w:rFonts w:eastAsia="TimesNewRoman"/>
        </w:rPr>
        <w:t>Во</w:t>
      </w:r>
      <w:proofErr w:type="gramEnd"/>
      <w:r w:rsidRPr="00F4061A">
        <w:rPr>
          <w:rFonts w:eastAsia="TimesNewRoman"/>
        </w:rPr>
        <w:t xml:space="preserve"> избежание залегания загружаемого материала в загрузочной камере, в неё осуществляется отдельная подача воздуха. Скорость воздуха  здесь превышает скорость движения воздуха через сопла, расположенные   в основной подине печи. </w:t>
      </w:r>
    </w:p>
    <w:p w:rsidR="009743AA" w:rsidRPr="00F4061A" w:rsidRDefault="009743AA" w:rsidP="009743AA">
      <w:pPr>
        <w:autoSpaceDE w:val="0"/>
        <w:autoSpaceDN w:val="0"/>
        <w:adjustRightInd w:val="0"/>
        <w:jc w:val="both"/>
        <w:rPr>
          <w:rFonts w:eastAsia="TimesNewRoman"/>
        </w:rPr>
      </w:pPr>
      <w:r w:rsidRPr="00F4061A">
        <w:rPr>
          <w:rFonts w:eastAsia="TimesNewRoman"/>
        </w:rPr>
        <w:t xml:space="preserve">     Выгрузка огарка из печи осуществляется через сливной порог, расположенный на противоположной от загрузочной камеры стороне печи Высота порога составляет порядка 1,0-</w:t>
      </w:r>
      <w:smartTag w:uri="urn:schemas-microsoft-com:office:smarttags" w:element="metricconverter">
        <w:smartTagPr>
          <w:attr w:name="ProductID" w:val="1,3 м"/>
        </w:smartTagPr>
        <w:r w:rsidRPr="00F4061A">
          <w:rPr>
            <w:rFonts w:eastAsia="TimesNewRoman"/>
          </w:rPr>
          <w:t>1,3 м</w:t>
        </w:r>
      </w:smartTag>
      <w:r w:rsidRPr="00F4061A">
        <w:rPr>
          <w:rFonts w:eastAsia="TimesNewRoman"/>
        </w:rPr>
        <w:t xml:space="preserve">.       </w:t>
      </w:r>
    </w:p>
    <w:p w:rsidR="009743AA" w:rsidRPr="00F4061A" w:rsidRDefault="009743AA" w:rsidP="009743AA">
      <w:pPr>
        <w:tabs>
          <w:tab w:val="left" w:pos="6120"/>
        </w:tabs>
        <w:jc w:val="both"/>
        <w:rPr>
          <w:rFonts w:eastAsia="TimesNewRoman"/>
          <w:vertAlign w:val="superscript"/>
        </w:rPr>
      </w:pPr>
      <w:r w:rsidRPr="00F4061A">
        <w:t xml:space="preserve">     Процесс окисления сульфидов в процессе обжига сопровождается выделением большого количества тепла. Если из кипящего слоя не отводить тепло, то температура в нём может повыситься до величин,  при которых может произойти расплавление огарка, что приведёт к выходу печи из строя. Поэтому для поддержания необходимой температуры в слое необходим отвод тепла.  Отвод тепла из кипящего слоя может осуществляться различными способами: </w:t>
      </w:r>
      <w:proofErr w:type="spellStart"/>
      <w:r w:rsidRPr="00F4061A">
        <w:t>водоохлаждаемыми</w:t>
      </w:r>
      <w:proofErr w:type="spellEnd"/>
      <w:r w:rsidRPr="00F4061A">
        <w:t xml:space="preserve"> кессонами, впрыскиванием воды в кипящий слой, с применением испарительного охлаждения, с помощью </w:t>
      </w:r>
      <w:proofErr w:type="spellStart"/>
      <w:r w:rsidRPr="00F4061A">
        <w:t>водоохлаждаемых</w:t>
      </w:r>
      <w:proofErr w:type="spellEnd"/>
      <w:r w:rsidRPr="00F4061A">
        <w:t xml:space="preserve">  змеевиков, установленных в кипящем  слое. Наиболее широкое распространение получил способ отвода тепла из кипящего слоя с помощью </w:t>
      </w:r>
      <w:proofErr w:type="spellStart"/>
      <w:r w:rsidRPr="00F4061A">
        <w:t>водоохлаждаемых</w:t>
      </w:r>
      <w:proofErr w:type="spellEnd"/>
      <w:r w:rsidRPr="00F4061A">
        <w:t xml:space="preserve"> змеевиков. </w:t>
      </w:r>
      <w:r w:rsidRPr="00F4061A">
        <w:rPr>
          <w:rFonts w:eastAsia="TimesNewRoman"/>
        </w:rPr>
        <w:t xml:space="preserve">Свыше 55% тепла теряется с отходящими газами. Поэтому </w:t>
      </w:r>
      <w:r w:rsidRPr="00F4061A">
        <w:rPr>
          <w:rFonts w:eastAsia="TimesNewRoman"/>
        </w:rPr>
        <w:lastRenderedPageBreak/>
        <w:t>непосредственно за печью устанавливают, котёл-утилизатор, где происходит их охлаждение до 500-600</w:t>
      </w:r>
      <w:r w:rsidRPr="00F4061A">
        <w:rPr>
          <w:rFonts w:eastAsia="TimesNewRoman"/>
          <w:vertAlign w:val="superscript"/>
        </w:rPr>
        <w:t>о</w:t>
      </w:r>
      <w:r w:rsidRPr="00F4061A">
        <w:rPr>
          <w:rFonts w:eastAsia="TimesNewRoman"/>
        </w:rPr>
        <w:t>С.</w:t>
      </w:r>
    </w:p>
    <w:p w:rsidR="009743AA" w:rsidRPr="00F4061A" w:rsidRDefault="009743AA" w:rsidP="009743AA">
      <w:pPr>
        <w:autoSpaceDE w:val="0"/>
        <w:autoSpaceDN w:val="0"/>
        <w:adjustRightInd w:val="0"/>
        <w:jc w:val="both"/>
        <w:rPr>
          <w:rFonts w:eastAsia="TimesNewRoman"/>
        </w:rPr>
      </w:pPr>
      <w:r w:rsidRPr="00F4061A">
        <w:rPr>
          <w:rFonts w:eastAsia="TimesNewRoman"/>
        </w:rPr>
        <w:t xml:space="preserve">     Обжиг цинкового концентрата проводят при температуре 950-980</w:t>
      </w:r>
      <w:r w:rsidRPr="00F4061A">
        <w:rPr>
          <w:rFonts w:eastAsia="TimesNewRoman"/>
          <w:vertAlign w:val="superscript"/>
        </w:rPr>
        <w:t>о</w:t>
      </w:r>
      <w:r w:rsidRPr="00F4061A">
        <w:rPr>
          <w:rFonts w:eastAsia="TimesNewRoman"/>
        </w:rPr>
        <w:t>С. Температура отходящих газов под сводом печи составляет   90-950</w:t>
      </w:r>
      <w:r w:rsidRPr="00F4061A">
        <w:rPr>
          <w:rFonts w:eastAsia="TimesNewRoman"/>
          <w:vertAlign w:val="superscript"/>
        </w:rPr>
        <w:t>о</w:t>
      </w:r>
      <w:r w:rsidRPr="00F4061A">
        <w:rPr>
          <w:rFonts w:eastAsia="TimesNewRoman"/>
        </w:rPr>
        <w:t>С, перед циклонами -500-600</w:t>
      </w:r>
      <w:r w:rsidRPr="00F4061A">
        <w:rPr>
          <w:rFonts w:eastAsia="TimesNewRoman"/>
          <w:vertAlign w:val="superscript"/>
        </w:rPr>
        <w:t>о</w:t>
      </w:r>
      <w:r w:rsidRPr="00F4061A">
        <w:rPr>
          <w:rFonts w:eastAsia="TimesNewRoman"/>
        </w:rPr>
        <w:t>С.</w:t>
      </w:r>
    </w:p>
    <w:p w:rsidR="009743AA" w:rsidRPr="00F4061A" w:rsidRDefault="009743AA" w:rsidP="009743AA">
      <w:pPr>
        <w:autoSpaceDE w:val="0"/>
        <w:autoSpaceDN w:val="0"/>
        <w:adjustRightInd w:val="0"/>
        <w:jc w:val="both"/>
        <w:rPr>
          <w:rFonts w:eastAsia="TimesNewRoman"/>
        </w:rPr>
      </w:pPr>
      <w:r w:rsidRPr="00F4061A">
        <w:rPr>
          <w:rFonts w:eastAsia="TimesNewRoman"/>
        </w:rPr>
        <w:t xml:space="preserve">     Продуктами обжига являются огарок, пыль и отходящие газы.</w:t>
      </w:r>
    </w:p>
    <w:p w:rsidR="009743AA" w:rsidRPr="00F4061A" w:rsidRDefault="009743AA" w:rsidP="009743AA">
      <w:pPr>
        <w:autoSpaceDE w:val="0"/>
        <w:autoSpaceDN w:val="0"/>
        <w:adjustRightInd w:val="0"/>
        <w:jc w:val="both"/>
        <w:rPr>
          <w:rFonts w:eastAsia="TimesNewRoman"/>
        </w:rPr>
      </w:pPr>
      <w:r w:rsidRPr="00F4061A">
        <w:rPr>
          <w:rFonts w:eastAsia="TimesNewRoman"/>
        </w:rPr>
        <w:t xml:space="preserve">     К огарку, получаемому в процессе обжига, предъявляются следующие требования: иметь минимальное содержание сульфидной серы (0,1-0,3%); определённое содержание сульфатной серы (2-4%); высокое количество мелкой фракции(</w:t>
      </w:r>
      <w:smartTag w:uri="urn:schemas-microsoft-com:office:smarttags" w:element="metricconverter">
        <w:smartTagPr>
          <w:attr w:name="ProductID" w:val="-0,15 мм"/>
        </w:smartTagPr>
        <w:r w:rsidRPr="00F4061A">
          <w:rPr>
            <w:rFonts w:eastAsia="TimesNewRoman"/>
          </w:rPr>
          <w:t>-0,15 мм</w:t>
        </w:r>
      </w:smartTag>
      <w:r w:rsidRPr="00F4061A">
        <w:rPr>
          <w:rFonts w:eastAsia="TimesNewRoman"/>
        </w:rPr>
        <w:t>); невысокое содержание ферритов и силикатов цинка.</w:t>
      </w:r>
    </w:p>
    <w:p w:rsidR="009743AA" w:rsidRPr="00F4061A" w:rsidRDefault="009743AA" w:rsidP="009743AA">
      <w:pPr>
        <w:autoSpaceDE w:val="0"/>
        <w:autoSpaceDN w:val="0"/>
        <w:adjustRightInd w:val="0"/>
        <w:jc w:val="both"/>
        <w:rPr>
          <w:rFonts w:eastAsia="TimesNewRoman"/>
        </w:rPr>
      </w:pPr>
      <w:r w:rsidRPr="00F4061A">
        <w:rPr>
          <w:rFonts w:eastAsia="TimesNewRoman"/>
        </w:rPr>
        <w:t xml:space="preserve">     В огарке, полученном при обжиге, обычно  содержатся  </w:t>
      </w:r>
      <w:proofErr w:type="spellStart"/>
      <w:r w:rsidRPr="00F4061A">
        <w:rPr>
          <w:rFonts w:eastAsia="TimesNewRoman"/>
        </w:rPr>
        <w:t>кислоторастворимые</w:t>
      </w:r>
      <w:proofErr w:type="spellEnd"/>
      <w:r w:rsidRPr="00F4061A">
        <w:rPr>
          <w:rFonts w:eastAsia="TimesNewRoman"/>
        </w:rPr>
        <w:t xml:space="preserve"> формы компонентов в количестве: цинк – 88-92%; силикаты-40-50%; сульфатная сера – 80-85 %</w:t>
      </w:r>
    </w:p>
    <w:p w:rsidR="009743AA" w:rsidRPr="00F4061A" w:rsidRDefault="009743AA" w:rsidP="009743AA">
      <w:pPr>
        <w:autoSpaceDE w:val="0"/>
        <w:autoSpaceDN w:val="0"/>
        <w:adjustRightInd w:val="0"/>
        <w:jc w:val="both"/>
      </w:pPr>
      <w:r w:rsidRPr="00F4061A">
        <w:rPr>
          <w:rFonts w:eastAsia="TimesNewRoman"/>
        </w:rPr>
        <w:t xml:space="preserve">     Вынос пыли из печи в процессе обжига составляет порядка - 35-50% от массы загружаемого концентрата.</w:t>
      </w:r>
      <w:r w:rsidRPr="00F4061A">
        <w:t xml:space="preserve"> Поэтому печь оборудована мощной системой пылеулавливания, включающая циклоны и электрофильтры,  которая обеспечивает очистку газов от пыли на 99,5%.  Основная  масса пыли порядка 95% представляет собой грубую пыль, которая улавливается в циклонах, газоходах и стояках.  Мелкая пыль, составляющая порядка 5%, улавливается в электрофильтрах. По своему составу она может отличаться от огарка. Обычно создают такой режим обжига, чтобы улавливаемая пыль была готовым продуктом. В этом случае она присоединяется к огарку. Тонкая пыль улавливается в электрофильтрах. В ней концентрируется значительное количество редких и рассеянных металлов. Эта пыль может быть переработана самостоятельно с целью извлечения редких и рассеянных металлов. Состав пыли отличается от огарка, в основном, повышенным  содержанием сульфидной и сульфатной серы.</w:t>
      </w:r>
    </w:p>
    <w:p w:rsidR="009743AA" w:rsidRPr="00F4061A" w:rsidRDefault="009743AA" w:rsidP="009743AA">
      <w:pPr>
        <w:autoSpaceDE w:val="0"/>
        <w:autoSpaceDN w:val="0"/>
        <w:adjustRightInd w:val="0"/>
        <w:jc w:val="both"/>
      </w:pPr>
      <w:r w:rsidRPr="00F4061A">
        <w:t xml:space="preserve">     Обжиг цинковых концентратов может осуществляться как на воздушном дутье, так и на дутье, обогащённое кислородом.  </w:t>
      </w:r>
    </w:p>
    <w:p w:rsidR="009743AA" w:rsidRPr="00F4061A" w:rsidRDefault="009743AA" w:rsidP="009743AA">
      <w:pPr>
        <w:autoSpaceDE w:val="0"/>
        <w:autoSpaceDN w:val="0"/>
        <w:adjustRightInd w:val="0"/>
        <w:jc w:val="both"/>
        <w:rPr>
          <w:rFonts w:eastAsia="TimesNewRoman"/>
        </w:rPr>
      </w:pPr>
      <w:r w:rsidRPr="00F4061A">
        <w:t xml:space="preserve">     При обжиге на воздушном дутье содержание </w:t>
      </w:r>
      <w:r w:rsidRPr="00F4061A">
        <w:rPr>
          <w:lang w:val="en-US"/>
        </w:rPr>
        <w:t>SO</w:t>
      </w:r>
      <w:r w:rsidRPr="00F4061A">
        <w:rPr>
          <w:vertAlign w:val="subscript"/>
        </w:rPr>
        <w:t>2</w:t>
      </w:r>
      <w:r w:rsidRPr="00F4061A">
        <w:t xml:space="preserve"> в отходящих газах составляет порядка 8,5-10%. Из-за подсоса воздуха в газоходах на получение серной кислоты поступают газы с содержанием </w:t>
      </w:r>
      <w:r w:rsidRPr="00F4061A">
        <w:rPr>
          <w:lang w:val="en-US"/>
        </w:rPr>
        <w:t>SO</w:t>
      </w:r>
      <w:r w:rsidRPr="00F4061A">
        <w:rPr>
          <w:vertAlign w:val="subscript"/>
        </w:rPr>
        <w:t>2</w:t>
      </w:r>
      <w:r w:rsidRPr="00F4061A">
        <w:t xml:space="preserve"> порядка 5-7%. Обогащение дутья кислородом позволяет получить отходящие газы, содержащие 14-16% </w:t>
      </w:r>
      <w:r w:rsidRPr="00F4061A">
        <w:rPr>
          <w:lang w:val="en-US"/>
        </w:rPr>
        <w:t>SO</w:t>
      </w:r>
      <w:r w:rsidRPr="00F4061A">
        <w:rPr>
          <w:vertAlign w:val="subscript"/>
        </w:rPr>
        <w:t>2</w:t>
      </w:r>
      <w:r w:rsidRPr="00F4061A">
        <w:t>. Обогащение дутья кислородом может достигать 30%.</w:t>
      </w:r>
    </w:p>
    <w:p w:rsidR="009743AA" w:rsidRPr="00F4061A" w:rsidRDefault="009743AA" w:rsidP="009743AA">
      <w:pPr>
        <w:jc w:val="both"/>
      </w:pPr>
      <w:r w:rsidRPr="00F4061A">
        <w:t xml:space="preserve">     Интенсификации процесса обжига цинковых концентратов  в печах кипящего слоя может осуществляться за счёт обогащения дутья кислородом  увеличения скорости и удельного расхода  подаваемого в печь воздуха.</w:t>
      </w:r>
    </w:p>
    <w:p w:rsidR="009743AA" w:rsidRPr="00F4061A" w:rsidRDefault="009743AA" w:rsidP="009743AA">
      <w:pPr>
        <w:jc w:val="both"/>
      </w:pPr>
      <w:r w:rsidRPr="00F4061A">
        <w:t xml:space="preserve">     Большой практический интерес представляет интенсификация процесса обжига за счёт обогащения воздушного дутья кислородом. Она экономически выгодна при попутном извлечении из воздуха помимо технического кислорода таких составляющих как азот, гелий, аргон и неон. Использование воздушного дутья обогащённого до 28-30% кислорода позволяет повысить на 50% производительность печи,   снизить вынос пыли из печи  до 30%, улучшить качество огарка и отходящих газов. В огарке  и пыли остаётся меньше сульфидной серы и в них  снижается содержание ферритов и силикатов цинка.</w:t>
      </w:r>
    </w:p>
    <w:p w:rsidR="009743AA" w:rsidRPr="00F4061A" w:rsidRDefault="009743AA" w:rsidP="009743AA">
      <w:pPr>
        <w:jc w:val="both"/>
      </w:pPr>
      <w:r w:rsidRPr="00F4061A">
        <w:t xml:space="preserve">     Интенсификация процесса обжига за счёт увеличения скорости дутья и его расхода экономически  выгодна в том случае, если производство кислорода требует больших затрат на электроэнергию и в случае невозможности извлечения из воздуха побочных продуктов. </w:t>
      </w:r>
    </w:p>
    <w:p w:rsidR="009743AA" w:rsidRPr="00F4061A" w:rsidRDefault="009743AA" w:rsidP="009743AA">
      <w:pPr>
        <w:jc w:val="both"/>
      </w:pPr>
      <w:r w:rsidRPr="00F4061A">
        <w:t xml:space="preserve">     Основные </w:t>
      </w:r>
      <w:proofErr w:type="spellStart"/>
      <w:proofErr w:type="gramStart"/>
      <w:r w:rsidRPr="00F4061A">
        <w:t>технико</w:t>
      </w:r>
      <w:proofErr w:type="spellEnd"/>
      <w:r w:rsidRPr="00F4061A">
        <w:t>- экономические</w:t>
      </w:r>
      <w:proofErr w:type="gramEnd"/>
      <w:r w:rsidRPr="00F4061A">
        <w:t xml:space="preserve"> показатели работы печи кипящего слоя приведены в таблице 2.2.</w:t>
      </w:r>
    </w:p>
    <w:p w:rsidR="009743AA" w:rsidRPr="00F4061A" w:rsidRDefault="009743AA" w:rsidP="009743AA">
      <w:pPr>
        <w:jc w:val="both"/>
      </w:pPr>
    </w:p>
    <w:p w:rsidR="009743AA" w:rsidRPr="00F4061A" w:rsidRDefault="009743AA" w:rsidP="009743AA">
      <w:pPr>
        <w:jc w:val="center"/>
      </w:pPr>
      <w:r w:rsidRPr="00F4061A">
        <w:t>Таблица 2.2 - Основные технико-экономические показатели работы печи кипящего слоя</w:t>
      </w:r>
    </w:p>
    <w:p w:rsidR="009743AA" w:rsidRPr="00F4061A" w:rsidRDefault="009743AA" w:rsidP="009743AA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8"/>
        <w:gridCol w:w="2340"/>
        <w:gridCol w:w="1903"/>
      </w:tblGrid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t>Показатели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t>Единицы  измерения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t>Значение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rPr>
                <w:i/>
                <w:u w:val="single"/>
              </w:rPr>
            </w:pPr>
            <w:r w:rsidRPr="00F4061A">
              <w:rPr>
                <w:i/>
                <w:u w:val="single"/>
              </w:rPr>
              <w:t xml:space="preserve">Температура: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proofErr w:type="spellStart"/>
            <w:r w:rsidRPr="00F4061A">
              <w:rPr>
                <w:vertAlign w:val="superscript"/>
              </w:rPr>
              <w:t>о</w:t>
            </w:r>
            <w:r w:rsidRPr="00F4061A">
              <w:t>С</w:t>
            </w:r>
            <w:proofErr w:type="spellEnd"/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r w:rsidRPr="00F4061A">
              <w:lastRenderedPageBreak/>
              <w:t>в слое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900–980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r w:rsidRPr="00F4061A">
              <w:rPr>
                <w:rFonts w:eastAsia="TimesNewRoman"/>
              </w:rPr>
              <w:t xml:space="preserve">под сводом  печи                                        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880–950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r w:rsidRPr="00F4061A">
              <w:rPr>
                <w:rFonts w:eastAsia="TimesNewRoman"/>
              </w:rPr>
              <w:t xml:space="preserve">перед циклоном                                          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550–600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r w:rsidRPr="00F4061A">
              <w:rPr>
                <w:rFonts w:eastAsia="TimesNewRoman"/>
              </w:rPr>
              <w:t>Расход воздуха на печь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(тыс. м</w:t>
            </w:r>
            <w:r w:rsidRPr="00F4061A">
              <w:rPr>
                <w:rFonts w:eastAsia="TimesNewRoman"/>
                <w:vertAlign w:val="superscript"/>
              </w:rPr>
              <w:t>3</w:t>
            </w:r>
            <w:r w:rsidRPr="00F4061A">
              <w:rPr>
                <w:rFonts w:eastAsia="TimesNewRoman"/>
              </w:rPr>
              <w:t xml:space="preserve">) /ч                   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12–17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r w:rsidRPr="00F4061A">
              <w:rPr>
                <w:rFonts w:eastAsia="TimesNewRoman"/>
              </w:rPr>
              <w:t xml:space="preserve">Давление воздуха            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кПа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15–25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r w:rsidRPr="00F4061A">
              <w:rPr>
                <w:rFonts w:eastAsia="TimesNewRoman"/>
              </w:rPr>
              <w:t>Производительность печи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т/</w:t>
            </w:r>
            <w:proofErr w:type="spellStart"/>
            <w:r w:rsidRPr="00F4061A">
              <w:rPr>
                <w:rFonts w:eastAsia="TimesNewRoman"/>
              </w:rPr>
              <w:t>сут</w:t>
            </w:r>
            <w:proofErr w:type="spellEnd"/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10–20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rPr>
                <w:i/>
                <w:u w:val="single"/>
              </w:rPr>
            </w:pPr>
            <w:r w:rsidRPr="00F4061A">
              <w:rPr>
                <w:i/>
                <w:u w:val="single"/>
              </w:rPr>
              <w:t>Выход: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t>%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r w:rsidRPr="00F4061A">
              <w:rPr>
                <w:rFonts w:eastAsia="TimesNewRoman"/>
              </w:rPr>
              <w:t>огарка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60–65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r w:rsidRPr="00F4061A">
              <w:rPr>
                <w:rFonts w:eastAsia="TimesNewRoman"/>
              </w:rPr>
              <w:t xml:space="preserve">пыли из циклона                                           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35–40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r w:rsidRPr="00F4061A">
              <w:rPr>
                <w:rFonts w:eastAsia="TimesNewRoman"/>
              </w:rPr>
              <w:t xml:space="preserve">пыли из электрофильтров                            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2–5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rPr>
                <w:i/>
                <w:u w:val="single"/>
              </w:rPr>
            </w:pPr>
            <w:r w:rsidRPr="00F4061A">
              <w:rPr>
                <w:rFonts w:eastAsia="TimesNewRoman"/>
                <w:i/>
                <w:u w:val="single"/>
              </w:rPr>
              <w:t xml:space="preserve">Содержание цинка в огарке цинка: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t>%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r w:rsidRPr="00F4061A">
              <w:rPr>
                <w:rFonts w:eastAsia="TimesNewRoman"/>
              </w:rPr>
              <w:t xml:space="preserve">общего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60–62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roofErr w:type="spellStart"/>
            <w:r w:rsidRPr="00F4061A">
              <w:rPr>
                <w:rFonts w:eastAsia="TimesNewRoman"/>
              </w:rPr>
              <w:t>кислоторастворимого</w:t>
            </w:r>
            <w:proofErr w:type="spellEnd"/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56–59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autoSpaceDE w:val="0"/>
              <w:autoSpaceDN w:val="0"/>
              <w:adjustRightInd w:val="0"/>
              <w:rPr>
                <w:rFonts w:eastAsia="TimesNewRoman"/>
              </w:rPr>
            </w:pPr>
            <w:r w:rsidRPr="00F4061A">
              <w:rPr>
                <w:rFonts w:eastAsia="TimesNewRoman"/>
              </w:rPr>
              <w:t xml:space="preserve">Доля </w:t>
            </w:r>
            <w:proofErr w:type="spellStart"/>
            <w:r w:rsidRPr="00F4061A">
              <w:rPr>
                <w:rFonts w:eastAsia="TimesNewRoman"/>
              </w:rPr>
              <w:t>кислоторастворимого</w:t>
            </w:r>
            <w:proofErr w:type="spellEnd"/>
            <w:r w:rsidRPr="00F4061A">
              <w:rPr>
                <w:rFonts w:eastAsia="TimesNewRoman"/>
              </w:rPr>
              <w:t xml:space="preserve"> цинка </w:t>
            </w:r>
          </w:p>
          <w:p w:rsidR="009743AA" w:rsidRPr="00F4061A" w:rsidRDefault="009743AA" w:rsidP="004C0A24">
            <w:r w:rsidRPr="00F4061A">
              <w:rPr>
                <w:rFonts w:eastAsia="TimesNewRoman"/>
              </w:rPr>
              <w:t xml:space="preserve">от общего содержания его в огарке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t>%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93–95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rPr>
                <w:i/>
                <w:u w:val="single"/>
              </w:rPr>
            </w:pPr>
            <w:r w:rsidRPr="00F4061A">
              <w:rPr>
                <w:rFonts w:eastAsia="TimesNewRoman"/>
                <w:i/>
                <w:u w:val="single"/>
              </w:rPr>
              <w:t xml:space="preserve">Запыленность газов:                   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  <w:rPr>
                <w:vertAlign w:val="superscript"/>
              </w:rPr>
            </w:pPr>
            <w:proofErr w:type="gramStart"/>
            <w:r w:rsidRPr="00F4061A">
              <w:t>г</w:t>
            </w:r>
            <w:proofErr w:type="gramEnd"/>
            <w:r w:rsidRPr="00F4061A">
              <w:t>/м</w:t>
            </w:r>
            <w:r w:rsidRPr="00F4061A">
              <w:rPr>
                <w:vertAlign w:val="superscript"/>
              </w:rPr>
              <w:t>3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rPr>
                <w:rFonts w:eastAsia="TimesNewRoman"/>
              </w:rPr>
            </w:pPr>
            <w:r w:rsidRPr="00F4061A">
              <w:rPr>
                <w:rFonts w:eastAsia="TimesNewRoman"/>
              </w:rPr>
              <w:t xml:space="preserve">перед циклоном                                           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150–200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rPr>
                <w:rFonts w:eastAsia="TimesNewRoman"/>
              </w:rPr>
            </w:pPr>
            <w:r w:rsidRPr="00F4061A">
              <w:rPr>
                <w:rFonts w:eastAsia="TimesNewRoman"/>
              </w:rPr>
              <w:t xml:space="preserve">после циклона                                                   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t>3-4</w:t>
            </w:r>
          </w:p>
        </w:tc>
      </w:tr>
      <w:tr w:rsidR="009743AA" w:rsidRPr="00F4061A" w:rsidTr="004C0A24"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rPr>
                <w:rFonts w:eastAsia="TimesNewRoman"/>
              </w:rPr>
            </w:pPr>
            <w:r w:rsidRPr="00F4061A">
              <w:rPr>
                <w:rFonts w:eastAsia="TimesNewRoman"/>
              </w:rPr>
              <w:t xml:space="preserve">за электрофильтром                                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3AA" w:rsidRPr="00F4061A" w:rsidRDefault="009743AA" w:rsidP="004C0A24">
            <w:pPr>
              <w:jc w:val="center"/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rPr>
                <w:rFonts w:eastAsia="TimesNewRoman"/>
              </w:rPr>
              <w:t>0,05–0,15</w:t>
            </w:r>
          </w:p>
        </w:tc>
      </w:tr>
      <w:tr w:rsidR="009743AA" w:rsidRPr="00F4061A" w:rsidTr="004C0A24">
        <w:trPr>
          <w:trHeight w:val="406"/>
        </w:trPr>
        <w:tc>
          <w:tcPr>
            <w:tcW w:w="5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3AA" w:rsidRPr="00F4061A" w:rsidRDefault="009743AA" w:rsidP="004C0A24">
            <w:pPr>
              <w:rPr>
                <w:rFonts w:eastAsia="TimesNewRoman"/>
              </w:rPr>
            </w:pPr>
            <w:r w:rsidRPr="00F4061A">
              <w:rPr>
                <w:rFonts w:eastAsia="TimesNewRoman"/>
              </w:rPr>
              <w:t>Концентрация SO</w:t>
            </w:r>
            <w:r w:rsidRPr="00F4061A">
              <w:rPr>
                <w:rFonts w:eastAsia="TimesNewRoman"/>
                <w:vertAlign w:val="subscript"/>
              </w:rPr>
              <w:t>2</w:t>
            </w:r>
            <w:r w:rsidRPr="00F4061A">
              <w:rPr>
                <w:rFonts w:eastAsia="TimesNewRoman"/>
              </w:rPr>
              <w:t xml:space="preserve"> в газах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3AA" w:rsidRPr="00F4061A" w:rsidRDefault="009743AA" w:rsidP="004C0A24">
            <w:pPr>
              <w:jc w:val="center"/>
            </w:pPr>
            <w:r w:rsidRPr="00F4061A">
              <w:t>%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43AA" w:rsidRPr="00F4061A" w:rsidRDefault="009743AA" w:rsidP="004C0A24">
            <w:pPr>
              <w:autoSpaceDE w:val="0"/>
              <w:autoSpaceDN w:val="0"/>
              <w:adjustRightInd w:val="0"/>
              <w:jc w:val="center"/>
            </w:pPr>
            <w:r w:rsidRPr="00F4061A">
              <w:t>8-10</w:t>
            </w:r>
          </w:p>
        </w:tc>
      </w:tr>
    </w:tbl>
    <w:p w:rsidR="001D37EA" w:rsidRPr="009743AA" w:rsidRDefault="001D37EA" w:rsidP="009743AA"/>
    <w:sectPr w:rsidR="001D37EA" w:rsidRPr="009743AA" w:rsidSect="001D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36763"/>
    <w:multiLevelType w:val="hybridMultilevel"/>
    <w:tmpl w:val="3DAC84A0"/>
    <w:lvl w:ilvl="0" w:tplc="FB0A703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E5138B"/>
    <w:multiLevelType w:val="hybridMultilevel"/>
    <w:tmpl w:val="1E82CA80"/>
    <w:lvl w:ilvl="0" w:tplc="18BE7FB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631650"/>
    <w:multiLevelType w:val="multilevel"/>
    <w:tmpl w:val="802810BA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</w:lvl>
    <w:lvl w:ilvl="1">
      <w:start w:val="9"/>
      <w:numFmt w:val="decimal"/>
      <w:lvlText w:val="%1.%2"/>
      <w:lvlJc w:val="left"/>
      <w:pPr>
        <w:tabs>
          <w:tab w:val="num" w:pos="778"/>
        </w:tabs>
        <w:ind w:left="778" w:hanging="495"/>
      </w:pPr>
    </w:lvl>
    <w:lvl w:ilvl="2">
      <w:start w:val="1"/>
      <w:numFmt w:val="decimal"/>
      <w:lvlText w:val="%1.%2.%3"/>
      <w:lvlJc w:val="left"/>
      <w:pPr>
        <w:tabs>
          <w:tab w:val="num" w:pos="1286"/>
        </w:tabs>
        <w:ind w:left="1286" w:hanging="720"/>
      </w:pPr>
    </w:lvl>
    <w:lvl w:ilvl="3">
      <w:start w:val="1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abstractNum w:abstractNumId="3">
    <w:nsid w:val="5D9444B4"/>
    <w:multiLevelType w:val="hybridMultilevel"/>
    <w:tmpl w:val="F4B6AF7A"/>
    <w:lvl w:ilvl="0" w:tplc="90661B1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2"/>
    <w:lvlOverride w:ilvl="0">
      <w:startOverride w:val="2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103D"/>
    <w:rsid w:val="00093C75"/>
    <w:rsid w:val="001C1561"/>
    <w:rsid w:val="001D37EA"/>
    <w:rsid w:val="0022264B"/>
    <w:rsid w:val="00420898"/>
    <w:rsid w:val="004F37A2"/>
    <w:rsid w:val="0061727A"/>
    <w:rsid w:val="00894735"/>
    <w:rsid w:val="0093103D"/>
    <w:rsid w:val="00932995"/>
    <w:rsid w:val="00965B79"/>
    <w:rsid w:val="009743AA"/>
    <w:rsid w:val="00A50AD7"/>
    <w:rsid w:val="00C31C2A"/>
    <w:rsid w:val="00C35C8A"/>
    <w:rsid w:val="00F32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0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2089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03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03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footer"/>
    <w:basedOn w:val="a"/>
    <w:link w:val="a6"/>
    <w:rsid w:val="0061727A"/>
    <w:pPr>
      <w:widowControl w:val="0"/>
      <w:tabs>
        <w:tab w:val="center" w:pos="4153"/>
        <w:tab w:val="right" w:pos="8306"/>
      </w:tabs>
      <w:spacing w:line="260" w:lineRule="auto"/>
      <w:ind w:firstLine="680"/>
      <w:jc w:val="both"/>
    </w:pPr>
    <w:rPr>
      <w:rFonts w:ascii="Arial" w:hAnsi="Arial"/>
      <w:snapToGrid w:val="0"/>
      <w:sz w:val="22"/>
      <w:szCs w:val="20"/>
    </w:rPr>
  </w:style>
  <w:style w:type="character" w:customStyle="1" w:styleId="a6">
    <w:name w:val="Нижний колонтитул Знак"/>
    <w:basedOn w:val="a0"/>
    <w:link w:val="a5"/>
    <w:rsid w:val="0061727A"/>
    <w:rPr>
      <w:rFonts w:ascii="Arial" w:eastAsia="Times New Roman" w:hAnsi="Arial" w:cs="Times New Roman"/>
      <w:snapToGrid w:val="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42089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7">
    <w:name w:val="header"/>
    <w:basedOn w:val="a"/>
    <w:link w:val="a8"/>
    <w:rsid w:val="0042089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4208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420898"/>
  </w:style>
  <w:style w:type="table" w:styleId="aa">
    <w:name w:val="Table Grid"/>
    <w:basedOn w:val="a1"/>
    <w:rsid w:val="004208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unhideWhenUsed/>
    <w:rsid w:val="00420898"/>
    <w:rPr>
      <w:color w:val="0000FF"/>
      <w:u w:val="single"/>
    </w:rPr>
  </w:style>
  <w:style w:type="character" w:styleId="ac">
    <w:name w:val="FollowedHyperlink"/>
    <w:basedOn w:val="a0"/>
    <w:uiPriority w:val="99"/>
    <w:unhideWhenUsed/>
    <w:rsid w:val="00420898"/>
    <w:rPr>
      <w:color w:val="800080"/>
      <w:u w:val="single"/>
    </w:rPr>
  </w:style>
  <w:style w:type="paragraph" w:styleId="ad">
    <w:name w:val="Body Text Indent"/>
    <w:basedOn w:val="a"/>
    <w:link w:val="ae"/>
    <w:unhideWhenUsed/>
    <w:rsid w:val="00420898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rsid w:val="004208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nhideWhenUsed/>
    <w:rsid w:val="00420898"/>
    <w:pPr>
      <w:ind w:right="-1"/>
    </w:pPr>
    <w:rPr>
      <w:b/>
      <w:sz w:val="22"/>
      <w:szCs w:val="20"/>
    </w:rPr>
  </w:style>
  <w:style w:type="character" w:customStyle="1" w:styleId="30">
    <w:name w:val="Основной текст 3 Знак"/>
    <w:basedOn w:val="a0"/>
    <w:link w:val="3"/>
    <w:rsid w:val="00420898"/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apple-style-span">
    <w:name w:val="apple-style-span"/>
    <w:basedOn w:val="a0"/>
    <w:rsid w:val="00420898"/>
  </w:style>
  <w:style w:type="paragraph" w:styleId="af">
    <w:name w:val="Normal (Web)"/>
    <w:basedOn w:val="a"/>
    <w:rsid w:val="0042089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4.bin"/><Relationship Id="rId3" Type="http://schemas.openxmlformats.org/officeDocument/2006/relationships/settings" Target="settings.xml"/><Relationship Id="rId21" Type="http://schemas.openxmlformats.org/officeDocument/2006/relationships/oleObject" Target="embeddings/oleObject10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image" Target="media/image7.wmf"/><Relationship Id="rId25" Type="http://schemas.openxmlformats.org/officeDocument/2006/relationships/oleObject" Target="embeddings/oleObject13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7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2.bin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8.wmf"/><Relationship Id="rId27" Type="http://schemas.openxmlformats.org/officeDocument/2006/relationships/oleObject" Target="embeddings/oleObject15.bin"/><Relationship Id="rId30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2676</Words>
  <Characters>15256</Characters>
  <Application>Microsoft Office Word</Application>
  <DocSecurity>0</DocSecurity>
  <Lines>127</Lines>
  <Paragraphs>35</Paragraphs>
  <ScaleCrop>false</ScaleCrop>
  <Company/>
  <LinksUpToDate>false</LinksUpToDate>
  <CharactersWithSpaces>17897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2022-11-15T10:31:00Z</dcterms:created>
  <dcterms:modified xsi:type="dcterms:W3CDTF">2022-11-16T11:25:00Z</dcterms:modified>
</cp:coreProperties>
</file>